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73950">
      <w:pPr>
        <w:pStyle w:val="2"/>
        <w:spacing w:line="360" w:lineRule="auto"/>
        <w:jc w:val="center"/>
        <w:rPr>
          <w:rFonts w:asciiTheme="minorEastAsia" w:hAnsiTheme="minorEastAsia" w:eastAsiaTheme="minorEastAsia"/>
        </w:rPr>
      </w:pPr>
      <w:bookmarkStart w:id="0" w:name="_Hlk112441282"/>
      <w:bookmarkEnd w:id="0"/>
      <w:r>
        <w:rPr>
          <w:rFonts w:hint="eastAsia" w:asciiTheme="minorEastAsia" w:hAnsiTheme="minorEastAsia" w:eastAsiaTheme="minorEastAsia"/>
        </w:rPr>
        <w:t>病人监护仪参数</w:t>
      </w:r>
    </w:p>
    <w:p w14:paraId="5453F4E6"/>
    <w:p w14:paraId="1FB38F98">
      <w:pPr>
        <w:autoSpaceDE w:val="0"/>
        <w:autoSpaceDN w:val="0"/>
        <w:adjustRightInd w:val="0"/>
        <w:spacing w:line="276" w:lineRule="auto"/>
        <w:jc w:val="left"/>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整机要求：</w:t>
      </w:r>
    </w:p>
    <w:p w14:paraId="5CCDC251">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便携一体式监护仪, 整机无风扇设计，降低环境噪音干扰。</w:t>
      </w:r>
    </w:p>
    <w:p w14:paraId="518E5C1B">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≥10寸彩色液晶触摸屏，分辨率≥1024*600，≥8通道波形显示，提供说明书或检验报告证明。</w:t>
      </w:r>
    </w:p>
    <w:p w14:paraId="2BF9454C">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屏幕标配电容屏非电阻屏，提供彩页或说明书等证明文件。</w:t>
      </w:r>
    </w:p>
    <w:p w14:paraId="50726DAD">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标配锂电池，工作时间≥4.5小时，可选配大容量锂电池，工作时间≥9小时。</w:t>
      </w:r>
    </w:p>
    <w:p w14:paraId="6A6E1881">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安全规格：ECG, TEMP, SpO2 , NIBP监测参数抗电击程度为防除颤CF型。</w:t>
      </w:r>
    </w:p>
    <w:p w14:paraId="75778C5A">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监护仪设计使用年限≥10年，提供机器标贴证明材料。</w:t>
      </w:r>
    </w:p>
    <w:p w14:paraId="67DF4884">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主机防水等级≥IPX1，支持0.75米抗跌落，提供说明书或彩页证明文件。</w:t>
      </w:r>
    </w:p>
    <w:p w14:paraId="039CDF7D">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主机可选配具备侧报警灯或360°报警灯，提供说明书证明材料。</w:t>
      </w:r>
    </w:p>
    <w:p w14:paraId="2621D215">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监护仪清洁消毒维护支持的消毒剂≥7种，在厂家手册中清晰列举消毒剂的种类。</w:t>
      </w:r>
    </w:p>
    <w:p w14:paraId="132BD4AA">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监护仪主机工作温度环境范围：0~40°C。</w:t>
      </w:r>
    </w:p>
    <w:p w14:paraId="03027B27">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监护仪主机工作湿度环境范围；15~95%。</w:t>
      </w:r>
    </w:p>
    <w:p w14:paraId="2670825A">
      <w:pPr>
        <w:autoSpaceDE w:val="0"/>
        <w:autoSpaceDN w:val="0"/>
        <w:adjustRightInd w:val="0"/>
        <w:spacing w:line="276" w:lineRule="auto"/>
        <w:jc w:val="left"/>
        <w:rPr>
          <w:rFonts w:cs="宋体" w:asciiTheme="minorEastAsia" w:hAnsiTheme="minorEastAsia" w:eastAsiaTheme="minorEastAsia"/>
          <w:b/>
          <w:color w:val="auto"/>
          <w:kern w:val="0"/>
          <w:sz w:val="24"/>
        </w:rPr>
      </w:pPr>
    </w:p>
    <w:p w14:paraId="59A09004">
      <w:pPr>
        <w:autoSpaceDE w:val="0"/>
        <w:autoSpaceDN w:val="0"/>
        <w:adjustRightInd w:val="0"/>
        <w:spacing w:line="276" w:lineRule="auto"/>
        <w:jc w:val="left"/>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监测参数：</w:t>
      </w:r>
    </w:p>
    <w:p w14:paraId="281A5C9E">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标准配置可监测心电，呼吸，无创血压，血氧饱和度，脉搏和体温，适用于成人、小儿和新生儿。</w:t>
      </w:r>
    </w:p>
    <w:p w14:paraId="1DC88959">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采用ECG多导同步分析专利技术，保证心电监护的优异性，提供彩页或说明书证明文件。</w:t>
      </w:r>
    </w:p>
    <w:p w14:paraId="1F046AF5">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具备智能导联脱落监测功能，个别导联脱落的情况下仍能保持监护。</w:t>
      </w:r>
    </w:p>
    <w:p w14:paraId="0F06F90F">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提供QRS阈值调节功能，为避免R波幅度较低时误报停搏报警，以及某些高T波和高P被误识别为QRS波群，提供说明书证明材料。</w:t>
      </w:r>
    </w:p>
    <w:p w14:paraId="2E04C6DA">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心率监测范围：成人10～300bpm，小儿/新生儿：10～350bpm,提供说明书证明材料。</w:t>
      </w:r>
    </w:p>
    <w:p w14:paraId="60AE6A86">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支持升级提供过去24小时心电概览报告查看与打印，包括心率统计结果，起搏统计结果，心律失常统计结果，ST统计和QT/QTc统计结果。</w:t>
      </w:r>
    </w:p>
    <w:p w14:paraId="35394066">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提供SpO2和PR的实时监测，适用于成人，小儿和新生儿。来自SpO2的PR测量范围：20-300。</w:t>
      </w:r>
    </w:p>
    <w:p w14:paraId="4F9A4F6B">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采用抗干扰和弱灌注血氧专利技术保证血氧监护的优异性，提供专利证书证明文件。</w:t>
      </w:r>
    </w:p>
    <w:p w14:paraId="341FC385">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提供手动，自动，连续、序列和整点5种测量模式，提供说明书或检验报告证明。</w:t>
      </w:r>
    </w:p>
    <w:p w14:paraId="0D256833">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配置无创血压测量，适用于成人，小儿和新生儿。无创血压成人测量范围：收缩压25~290mmH。</w:t>
      </w:r>
    </w:p>
    <w:p w14:paraId="4EEE2093">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提供动态血压分析界面，包括平均血压、白天平均血压、夜间平均血压、最高血压、最低血压和正常血压比例等，直观快速了解过去24小时患者血压变化和分布情况。</w:t>
      </w:r>
    </w:p>
    <w:p w14:paraId="5C26AFCB">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提供呼吸测量，适用于成人、小儿和新生儿。呼吸测量范围：1-200 rpm，提供说明书证明材料。</w:t>
      </w:r>
    </w:p>
    <w:p w14:paraId="3D90BFF1">
      <w:pPr>
        <w:autoSpaceDE w:val="0"/>
        <w:autoSpaceDN w:val="0"/>
        <w:adjustRightInd w:val="0"/>
        <w:spacing w:line="276" w:lineRule="auto"/>
        <w:jc w:val="left"/>
        <w:rPr>
          <w:rFonts w:asciiTheme="minorEastAsia" w:hAnsiTheme="minorEastAsia" w:eastAsiaTheme="minorEastAsia"/>
          <w:color w:val="auto"/>
          <w:sz w:val="24"/>
        </w:rPr>
      </w:pPr>
    </w:p>
    <w:p w14:paraId="5CC2ED1E">
      <w:pPr>
        <w:spacing w:line="276" w:lineRule="auto"/>
        <w:ind w:right="-512" w:rightChars="-244"/>
        <w:rPr>
          <w:rFonts w:asciiTheme="minorEastAsia" w:hAnsiTheme="minorEastAsia" w:eastAsiaTheme="minorEastAsia"/>
          <w:b/>
          <w:color w:val="auto"/>
          <w:sz w:val="24"/>
        </w:rPr>
      </w:pPr>
      <w:r>
        <w:rPr>
          <w:rFonts w:hint="eastAsia" w:asciiTheme="minorEastAsia" w:hAnsiTheme="minorEastAsia" w:eastAsiaTheme="minorEastAsia"/>
          <w:b/>
          <w:color w:val="auto"/>
          <w:sz w:val="24"/>
        </w:rPr>
        <w:t>系统功能：</w:t>
      </w:r>
    </w:p>
    <w:p w14:paraId="2BCF20B9">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具有三级声光报警，参数报警级别可调。</w:t>
      </w:r>
    </w:p>
    <w:p w14:paraId="1B8CBAA9">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支持自主培训功能，通过动画与图文结合，对医护团队介绍监护仪常用功能，提供说明书证明材料。</w:t>
      </w:r>
    </w:p>
    <w:p w14:paraId="785696FE">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支持所有监测参数报警限一键自动设置功能，满足医护团队快速管理患者报警需求，产品用户手册提供报警限自动设置规则，提供说明书或检验报告证明。</w:t>
      </w:r>
    </w:p>
    <w:p w14:paraId="76CDF413">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具有图形化技术报警指示功能，帮助医护团队快速识别报警来源。</w:t>
      </w:r>
    </w:p>
    <w:p w14:paraId="03171E3D">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支持USB外部存储，支持≥2400小时趋势数据的存储与回顾功能，支持≥5000组无创血压测量记录，≥120小时全息波形的存储与回顾功能</w:t>
      </w:r>
    </w:p>
    <w:p w14:paraId="6C9D53DB">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具备监护模式、待机模式，演示模式和夜间模式,可选隐私模式。</w:t>
      </w:r>
    </w:p>
    <w:p w14:paraId="14EB2BD6">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可升级临床评分系统，包括MEWS（改良早期预警评分）、NEWS（英国早期预警评分系统）、NEWS2（英国早期预警评分系统2），可支持定时自动EWS评分功能。</w:t>
      </w:r>
    </w:p>
    <w:p w14:paraId="00D9E76F">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支持格拉斯哥昏迷评分（GCS）功能</w:t>
      </w:r>
    </w:p>
    <w:p w14:paraId="184EA4E5">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动态趋势界面可支持统计1-24小时心律失常报警、参数超限报警信息，并对超限报警区间的波形进行高亮显示，帮助医护人员快速识别异常趋势信息。</w:t>
      </w:r>
    </w:p>
    <w:p w14:paraId="1F923261">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支持带ABD事件的呼吸氧合界面。</w:t>
      </w:r>
    </w:p>
    <w:p w14:paraId="1C903B1F">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支持RJ45接口进行有线网络通信，和除颤监护仪一起联网通信到中心监护系统，提供说明书证明材料。</w:t>
      </w:r>
    </w:p>
    <w:p w14:paraId="6AC26397">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sym w:font="Wingdings 3" w:char="F070"/>
      </w:r>
      <w:r>
        <w:rPr>
          <w:rFonts w:hint="eastAsia" w:asciiTheme="minorEastAsia" w:hAnsiTheme="minorEastAsia" w:eastAsiaTheme="minorEastAsia"/>
          <w:color w:val="auto"/>
          <w:sz w:val="24"/>
        </w:rPr>
        <w:t>支持监护仪的系统日志向U盘设备的导出功能，日志包括：系统状态、异常和技术报警等，满足设备管理的日常维护需求。</w:t>
      </w:r>
    </w:p>
    <w:p w14:paraId="796D5440">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主机集成附件收纳箱，支持将心电、血氧和无创血压等导联线附件进行收纳放置，方便监护仪设备的高效管理和转移。</w:t>
      </w:r>
    </w:p>
    <w:p w14:paraId="78F6422D">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可升级内置记录仪，提供说明书或检验报告证明。</w:t>
      </w:r>
    </w:p>
    <w:p w14:paraId="378C6AA1">
      <w:pPr>
        <w:pStyle w:val="14"/>
        <w:numPr>
          <w:ilvl w:val="0"/>
          <w:numId w:val="1"/>
        </w:numPr>
        <w:autoSpaceDE w:val="0"/>
        <w:autoSpaceDN w:val="0"/>
        <w:adjustRightInd w:val="0"/>
        <w:spacing w:line="276"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支持它床观察，可同时监视≥12它床的报警信息。</w:t>
      </w:r>
    </w:p>
    <w:p w14:paraId="0DABE2A5">
      <w:pPr>
        <w:spacing w:line="276" w:lineRule="auto"/>
        <w:ind w:right="-512" w:rightChars="-244"/>
        <w:rPr>
          <w:rFonts w:asciiTheme="minorEastAsia" w:hAnsiTheme="minorEastAsia" w:eastAsiaTheme="minorEastAsia"/>
          <w:b/>
          <w:color w:val="auto"/>
          <w:sz w:val="24"/>
        </w:rPr>
      </w:pPr>
      <w:r>
        <w:rPr>
          <w:rFonts w:hint="eastAsia" w:asciiTheme="minorEastAsia" w:hAnsiTheme="minorEastAsia" w:eastAsiaTheme="minorEastAsia"/>
          <w:b/>
          <w:color w:val="auto"/>
          <w:sz w:val="24"/>
        </w:rPr>
        <w:t>产品认证：</w:t>
      </w:r>
    </w:p>
    <w:p w14:paraId="61F305BB">
      <w:pPr>
        <w:pStyle w:val="14"/>
        <w:numPr>
          <w:ilvl w:val="1"/>
          <w:numId w:val="2"/>
        </w:numPr>
        <w:spacing w:line="276" w:lineRule="auto"/>
        <w:ind w:right="-512" w:rightChars="-244"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rPr>
        <w:t>型号为中国医学器械装备协会发布的优秀国产医疗产品目录中包括品牌和型号。</w:t>
      </w:r>
    </w:p>
    <w:p w14:paraId="1B6A6790">
      <w:pPr>
        <w:pStyle w:val="14"/>
        <w:numPr>
          <w:ilvl w:val="1"/>
          <w:numId w:val="2"/>
        </w:numPr>
        <w:spacing w:line="276" w:lineRule="auto"/>
        <w:ind w:right="-512" w:rightChars="-244" w:firstLineChars="0"/>
        <w:rPr>
          <w:rFonts w:asciiTheme="minorEastAsia" w:hAnsiTheme="minorEastAsia" w:eastAsiaTheme="minorEastAsia"/>
          <w:sz w:val="24"/>
        </w:rPr>
      </w:pPr>
      <w:bookmarkStart w:id="1" w:name="_GoBack"/>
      <w:bookmarkEnd w:id="1"/>
      <w:r>
        <w:rPr>
          <w:rFonts w:hint="eastAsia" w:asciiTheme="minorEastAsia" w:hAnsiTheme="minorEastAsia" w:eastAsiaTheme="minorEastAsia"/>
          <w:color w:val="auto"/>
          <w:sz w:val="24"/>
        </w:rPr>
        <w:t>监护仪认证：通过国家三类注册，CE认证</w:t>
      </w:r>
      <w:r>
        <w:rPr>
          <w:rFonts w:hint="eastAsia" w:cs="Arial" w:asciiTheme="minorEastAsia" w:hAnsiTheme="minorEastAsia" w:eastAsiaTheme="minorEastAsia"/>
          <w:color w:val="auto"/>
          <w:sz w:val="24"/>
        </w:rPr>
        <w:t>，提供证明材料。</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3">
    <w:altName w:val="Symbol"/>
    <w:panose1 w:val="050401020108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45D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12D1D"/>
    <w:multiLevelType w:val="multilevel"/>
    <w:tmpl w:val="30212D1D"/>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DE4C22"/>
    <w:multiLevelType w:val="multilevel"/>
    <w:tmpl w:val="68DE4C22"/>
    <w:lvl w:ilvl="0" w:tentative="0">
      <w:start w:val="3"/>
      <w:numFmt w:val="decimal"/>
      <w:lvlText w:val="%1."/>
      <w:lvlJc w:val="left"/>
      <w:pPr>
        <w:ind w:left="600" w:hanging="600"/>
      </w:pPr>
      <w:rPr>
        <w:rFonts w:hint="default"/>
      </w:rPr>
    </w:lvl>
    <w:lvl w:ilvl="1" w:tentative="0">
      <w:start w:val="1"/>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YWY4YTczNmJiZDA5ZWU4ZjQyZDM3ODM0NWUwZjYifQ=="/>
  </w:docVars>
  <w:rsids>
    <w:rsidRoot w:val="00815577"/>
    <w:rsid w:val="00002517"/>
    <w:rsid w:val="00003C0C"/>
    <w:rsid w:val="00004315"/>
    <w:rsid w:val="00006D5C"/>
    <w:rsid w:val="00010C7F"/>
    <w:rsid w:val="00011F16"/>
    <w:rsid w:val="000200E3"/>
    <w:rsid w:val="00023368"/>
    <w:rsid w:val="000343CA"/>
    <w:rsid w:val="000403E2"/>
    <w:rsid w:val="0004658F"/>
    <w:rsid w:val="00066326"/>
    <w:rsid w:val="00081F82"/>
    <w:rsid w:val="000830BB"/>
    <w:rsid w:val="00090D6F"/>
    <w:rsid w:val="00095D8A"/>
    <w:rsid w:val="000B2683"/>
    <w:rsid w:val="000B6471"/>
    <w:rsid w:val="000C0B70"/>
    <w:rsid w:val="000D2996"/>
    <w:rsid w:val="000D5C71"/>
    <w:rsid w:val="000E20D0"/>
    <w:rsid w:val="000E6479"/>
    <w:rsid w:val="000F119A"/>
    <w:rsid w:val="000F1DFC"/>
    <w:rsid w:val="00112F4D"/>
    <w:rsid w:val="00122F69"/>
    <w:rsid w:val="0012705C"/>
    <w:rsid w:val="00143CB8"/>
    <w:rsid w:val="001451AF"/>
    <w:rsid w:val="0014649F"/>
    <w:rsid w:val="00172203"/>
    <w:rsid w:val="00195C8F"/>
    <w:rsid w:val="001A43C1"/>
    <w:rsid w:val="001A4B89"/>
    <w:rsid w:val="001B0FBB"/>
    <w:rsid w:val="001B3338"/>
    <w:rsid w:val="001B3C40"/>
    <w:rsid w:val="001C2FB2"/>
    <w:rsid w:val="001E2524"/>
    <w:rsid w:val="001E6437"/>
    <w:rsid w:val="00213997"/>
    <w:rsid w:val="00225226"/>
    <w:rsid w:val="00225899"/>
    <w:rsid w:val="00225A37"/>
    <w:rsid w:val="0022657C"/>
    <w:rsid w:val="002279B2"/>
    <w:rsid w:val="00231878"/>
    <w:rsid w:val="00247D09"/>
    <w:rsid w:val="0025054C"/>
    <w:rsid w:val="00256B15"/>
    <w:rsid w:val="00262E66"/>
    <w:rsid w:val="00264429"/>
    <w:rsid w:val="00266F49"/>
    <w:rsid w:val="00273964"/>
    <w:rsid w:val="002744C9"/>
    <w:rsid w:val="00277A56"/>
    <w:rsid w:val="00280D4B"/>
    <w:rsid w:val="00286312"/>
    <w:rsid w:val="00290835"/>
    <w:rsid w:val="00293AFE"/>
    <w:rsid w:val="002A4F4B"/>
    <w:rsid w:val="002D446C"/>
    <w:rsid w:val="002E2D70"/>
    <w:rsid w:val="002E347F"/>
    <w:rsid w:val="002F3D57"/>
    <w:rsid w:val="002F4319"/>
    <w:rsid w:val="002F7330"/>
    <w:rsid w:val="002F74D6"/>
    <w:rsid w:val="002F78F4"/>
    <w:rsid w:val="003049FB"/>
    <w:rsid w:val="00306142"/>
    <w:rsid w:val="00321923"/>
    <w:rsid w:val="00324F84"/>
    <w:rsid w:val="0033658C"/>
    <w:rsid w:val="00351504"/>
    <w:rsid w:val="00353B4E"/>
    <w:rsid w:val="00357D11"/>
    <w:rsid w:val="00362092"/>
    <w:rsid w:val="003764DB"/>
    <w:rsid w:val="003855AE"/>
    <w:rsid w:val="003920F5"/>
    <w:rsid w:val="00392648"/>
    <w:rsid w:val="00392B8B"/>
    <w:rsid w:val="003C13AD"/>
    <w:rsid w:val="003D0B04"/>
    <w:rsid w:val="003D4494"/>
    <w:rsid w:val="003D4D80"/>
    <w:rsid w:val="00403EEA"/>
    <w:rsid w:val="00420E94"/>
    <w:rsid w:val="0042433B"/>
    <w:rsid w:val="00425787"/>
    <w:rsid w:val="00426A56"/>
    <w:rsid w:val="00431D86"/>
    <w:rsid w:val="0043210D"/>
    <w:rsid w:val="00435949"/>
    <w:rsid w:val="004452D7"/>
    <w:rsid w:val="004454F5"/>
    <w:rsid w:val="0045172A"/>
    <w:rsid w:val="00456893"/>
    <w:rsid w:val="00457A15"/>
    <w:rsid w:val="004677D7"/>
    <w:rsid w:val="00497133"/>
    <w:rsid w:val="004A2D06"/>
    <w:rsid w:val="004A6164"/>
    <w:rsid w:val="004C6D5D"/>
    <w:rsid w:val="004C7629"/>
    <w:rsid w:val="004E1840"/>
    <w:rsid w:val="00503D8E"/>
    <w:rsid w:val="00504C2E"/>
    <w:rsid w:val="0050541F"/>
    <w:rsid w:val="00510A06"/>
    <w:rsid w:val="00513BD9"/>
    <w:rsid w:val="005223C9"/>
    <w:rsid w:val="00526C20"/>
    <w:rsid w:val="00530997"/>
    <w:rsid w:val="00540838"/>
    <w:rsid w:val="005444D5"/>
    <w:rsid w:val="00551D80"/>
    <w:rsid w:val="00551F55"/>
    <w:rsid w:val="005548D8"/>
    <w:rsid w:val="00556D19"/>
    <w:rsid w:val="0056256B"/>
    <w:rsid w:val="00563C63"/>
    <w:rsid w:val="005646B5"/>
    <w:rsid w:val="0056648B"/>
    <w:rsid w:val="0058007D"/>
    <w:rsid w:val="0058476E"/>
    <w:rsid w:val="005858B2"/>
    <w:rsid w:val="00586495"/>
    <w:rsid w:val="00592C10"/>
    <w:rsid w:val="00597ACF"/>
    <w:rsid w:val="005A09A3"/>
    <w:rsid w:val="005A11C0"/>
    <w:rsid w:val="005B0215"/>
    <w:rsid w:val="005B6395"/>
    <w:rsid w:val="005C0BCB"/>
    <w:rsid w:val="005C2F77"/>
    <w:rsid w:val="005D4C7D"/>
    <w:rsid w:val="005E1A3C"/>
    <w:rsid w:val="005E2492"/>
    <w:rsid w:val="005F1116"/>
    <w:rsid w:val="005F2A46"/>
    <w:rsid w:val="005F3031"/>
    <w:rsid w:val="005F4318"/>
    <w:rsid w:val="005F5B8F"/>
    <w:rsid w:val="006028B2"/>
    <w:rsid w:val="0060350F"/>
    <w:rsid w:val="00606142"/>
    <w:rsid w:val="006178EF"/>
    <w:rsid w:val="006233F3"/>
    <w:rsid w:val="0062787B"/>
    <w:rsid w:val="00633B61"/>
    <w:rsid w:val="006359A8"/>
    <w:rsid w:val="00641169"/>
    <w:rsid w:val="00643FDB"/>
    <w:rsid w:val="00650F72"/>
    <w:rsid w:val="006513EF"/>
    <w:rsid w:val="00657D30"/>
    <w:rsid w:val="006655E4"/>
    <w:rsid w:val="00667BB0"/>
    <w:rsid w:val="00694C43"/>
    <w:rsid w:val="006A1061"/>
    <w:rsid w:val="006B0989"/>
    <w:rsid w:val="006B166E"/>
    <w:rsid w:val="006B2FBF"/>
    <w:rsid w:val="006C0F46"/>
    <w:rsid w:val="006C5F15"/>
    <w:rsid w:val="006D0441"/>
    <w:rsid w:val="006D0C10"/>
    <w:rsid w:val="006D6FF0"/>
    <w:rsid w:val="006F787C"/>
    <w:rsid w:val="0070333D"/>
    <w:rsid w:val="00704227"/>
    <w:rsid w:val="0071039A"/>
    <w:rsid w:val="00711310"/>
    <w:rsid w:val="00712E34"/>
    <w:rsid w:val="00720632"/>
    <w:rsid w:val="00721CB2"/>
    <w:rsid w:val="0073621E"/>
    <w:rsid w:val="00736520"/>
    <w:rsid w:val="00743384"/>
    <w:rsid w:val="00744C23"/>
    <w:rsid w:val="00746A5A"/>
    <w:rsid w:val="007553A4"/>
    <w:rsid w:val="007608C3"/>
    <w:rsid w:val="007714AA"/>
    <w:rsid w:val="007718A9"/>
    <w:rsid w:val="007770FE"/>
    <w:rsid w:val="007845DB"/>
    <w:rsid w:val="00797F46"/>
    <w:rsid w:val="007A33F3"/>
    <w:rsid w:val="007A66E6"/>
    <w:rsid w:val="007B0E69"/>
    <w:rsid w:val="007B144A"/>
    <w:rsid w:val="007B7D49"/>
    <w:rsid w:val="007C2383"/>
    <w:rsid w:val="007C2F37"/>
    <w:rsid w:val="007C3DF5"/>
    <w:rsid w:val="007D5090"/>
    <w:rsid w:val="007E7D5C"/>
    <w:rsid w:val="007F2444"/>
    <w:rsid w:val="007F3EEE"/>
    <w:rsid w:val="007F784D"/>
    <w:rsid w:val="0081058B"/>
    <w:rsid w:val="0081076E"/>
    <w:rsid w:val="00815577"/>
    <w:rsid w:val="008163D6"/>
    <w:rsid w:val="00841C9B"/>
    <w:rsid w:val="00846FBD"/>
    <w:rsid w:val="00870047"/>
    <w:rsid w:val="00884EA1"/>
    <w:rsid w:val="00893D94"/>
    <w:rsid w:val="00894CA4"/>
    <w:rsid w:val="008A3821"/>
    <w:rsid w:val="008A3FB6"/>
    <w:rsid w:val="008A625F"/>
    <w:rsid w:val="008B1211"/>
    <w:rsid w:val="008B24A3"/>
    <w:rsid w:val="008B3958"/>
    <w:rsid w:val="008C4022"/>
    <w:rsid w:val="008D1805"/>
    <w:rsid w:val="008D394F"/>
    <w:rsid w:val="008E0341"/>
    <w:rsid w:val="008F58A8"/>
    <w:rsid w:val="00903C8F"/>
    <w:rsid w:val="00925EA6"/>
    <w:rsid w:val="009328A0"/>
    <w:rsid w:val="00937AB6"/>
    <w:rsid w:val="00941654"/>
    <w:rsid w:val="00943C7E"/>
    <w:rsid w:val="0094730F"/>
    <w:rsid w:val="00955216"/>
    <w:rsid w:val="009566FE"/>
    <w:rsid w:val="009577CE"/>
    <w:rsid w:val="00962641"/>
    <w:rsid w:val="00970676"/>
    <w:rsid w:val="00970961"/>
    <w:rsid w:val="00977F24"/>
    <w:rsid w:val="00981433"/>
    <w:rsid w:val="009817BB"/>
    <w:rsid w:val="009931A5"/>
    <w:rsid w:val="00994137"/>
    <w:rsid w:val="009A1D9D"/>
    <w:rsid w:val="009B099C"/>
    <w:rsid w:val="009B0E62"/>
    <w:rsid w:val="009B1285"/>
    <w:rsid w:val="009B6F31"/>
    <w:rsid w:val="009C7A5F"/>
    <w:rsid w:val="009D1B85"/>
    <w:rsid w:val="009D5B75"/>
    <w:rsid w:val="009D5E34"/>
    <w:rsid w:val="00A066CE"/>
    <w:rsid w:val="00A164BF"/>
    <w:rsid w:val="00A20E6B"/>
    <w:rsid w:val="00A30FE8"/>
    <w:rsid w:val="00A32E45"/>
    <w:rsid w:val="00A339B1"/>
    <w:rsid w:val="00A44870"/>
    <w:rsid w:val="00A4738E"/>
    <w:rsid w:val="00A4796E"/>
    <w:rsid w:val="00A521E9"/>
    <w:rsid w:val="00A67F7F"/>
    <w:rsid w:val="00A776A4"/>
    <w:rsid w:val="00A84AB8"/>
    <w:rsid w:val="00A87C01"/>
    <w:rsid w:val="00AA7798"/>
    <w:rsid w:val="00AB00C3"/>
    <w:rsid w:val="00AB2D06"/>
    <w:rsid w:val="00AB61DA"/>
    <w:rsid w:val="00AC0102"/>
    <w:rsid w:val="00AD6B9A"/>
    <w:rsid w:val="00AE2902"/>
    <w:rsid w:val="00AF6DE2"/>
    <w:rsid w:val="00B01D7D"/>
    <w:rsid w:val="00B068EC"/>
    <w:rsid w:val="00B1436C"/>
    <w:rsid w:val="00B154BD"/>
    <w:rsid w:val="00B17092"/>
    <w:rsid w:val="00B2205D"/>
    <w:rsid w:val="00B33F2D"/>
    <w:rsid w:val="00B440F8"/>
    <w:rsid w:val="00B534D0"/>
    <w:rsid w:val="00B56A34"/>
    <w:rsid w:val="00B7013B"/>
    <w:rsid w:val="00B7025C"/>
    <w:rsid w:val="00B7288A"/>
    <w:rsid w:val="00B73D6D"/>
    <w:rsid w:val="00B8346C"/>
    <w:rsid w:val="00B911EB"/>
    <w:rsid w:val="00B956F1"/>
    <w:rsid w:val="00B97FA1"/>
    <w:rsid w:val="00BA3241"/>
    <w:rsid w:val="00BB143D"/>
    <w:rsid w:val="00BB3D1D"/>
    <w:rsid w:val="00BC0840"/>
    <w:rsid w:val="00BC2066"/>
    <w:rsid w:val="00BC2564"/>
    <w:rsid w:val="00BC30DD"/>
    <w:rsid w:val="00BC4C87"/>
    <w:rsid w:val="00BC52A1"/>
    <w:rsid w:val="00BD20A2"/>
    <w:rsid w:val="00BD35A4"/>
    <w:rsid w:val="00BD7AA3"/>
    <w:rsid w:val="00BF1013"/>
    <w:rsid w:val="00BF48AF"/>
    <w:rsid w:val="00C0472A"/>
    <w:rsid w:val="00C112E8"/>
    <w:rsid w:val="00C15E9C"/>
    <w:rsid w:val="00C24C46"/>
    <w:rsid w:val="00C25048"/>
    <w:rsid w:val="00C321F1"/>
    <w:rsid w:val="00C3502B"/>
    <w:rsid w:val="00C4697A"/>
    <w:rsid w:val="00C5068F"/>
    <w:rsid w:val="00C567BA"/>
    <w:rsid w:val="00C63469"/>
    <w:rsid w:val="00C6655D"/>
    <w:rsid w:val="00C77BA9"/>
    <w:rsid w:val="00C81525"/>
    <w:rsid w:val="00CA2010"/>
    <w:rsid w:val="00CA2EF2"/>
    <w:rsid w:val="00CA4D45"/>
    <w:rsid w:val="00CA78FB"/>
    <w:rsid w:val="00CB2D13"/>
    <w:rsid w:val="00CB2E95"/>
    <w:rsid w:val="00CB45D2"/>
    <w:rsid w:val="00CC21DD"/>
    <w:rsid w:val="00CC2D14"/>
    <w:rsid w:val="00CC6104"/>
    <w:rsid w:val="00CD595D"/>
    <w:rsid w:val="00CD7B29"/>
    <w:rsid w:val="00CE41B9"/>
    <w:rsid w:val="00CE4836"/>
    <w:rsid w:val="00CE7656"/>
    <w:rsid w:val="00D00B76"/>
    <w:rsid w:val="00D039F5"/>
    <w:rsid w:val="00D119A3"/>
    <w:rsid w:val="00D124A5"/>
    <w:rsid w:val="00D15484"/>
    <w:rsid w:val="00D436E1"/>
    <w:rsid w:val="00D55D27"/>
    <w:rsid w:val="00D57FF0"/>
    <w:rsid w:val="00D641D9"/>
    <w:rsid w:val="00D719C4"/>
    <w:rsid w:val="00D72627"/>
    <w:rsid w:val="00D7412B"/>
    <w:rsid w:val="00D82E85"/>
    <w:rsid w:val="00D91A85"/>
    <w:rsid w:val="00D95B2B"/>
    <w:rsid w:val="00DA1D85"/>
    <w:rsid w:val="00DA2312"/>
    <w:rsid w:val="00DB22EE"/>
    <w:rsid w:val="00DB3FC3"/>
    <w:rsid w:val="00DB4033"/>
    <w:rsid w:val="00DC0C8E"/>
    <w:rsid w:val="00DC6CAD"/>
    <w:rsid w:val="00DC6F5C"/>
    <w:rsid w:val="00DD04C9"/>
    <w:rsid w:val="00DD2BC3"/>
    <w:rsid w:val="00DD4C27"/>
    <w:rsid w:val="00DE08E1"/>
    <w:rsid w:val="00DE66DC"/>
    <w:rsid w:val="00DE751B"/>
    <w:rsid w:val="00DE7C2D"/>
    <w:rsid w:val="00DF298D"/>
    <w:rsid w:val="00E10D6A"/>
    <w:rsid w:val="00E13AE4"/>
    <w:rsid w:val="00E23F24"/>
    <w:rsid w:val="00E2624B"/>
    <w:rsid w:val="00E73677"/>
    <w:rsid w:val="00E778BD"/>
    <w:rsid w:val="00E83CE7"/>
    <w:rsid w:val="00E87CA0"/>
    <w:rsid w:val="00E91D90"/>
    <w:rsid w:val="00E94042"/>
    <w:rsid w:val="00EA1D92"/>
    <w:rsid w:val="00EA2E23"/>
    <w:rsid w:val="00EA64D0"/>
    <w:rsid w:val="00EA7D06"/>
    <w:rsid w:val="00EB2A41"/>
    <w:rsid w:val="00EB34C3"/>
    <w:rsid w:val="00EB472D"/>
    <w:rsid w:val="00EB4FC8"/>
    <w:rsid w:val="00EB7EAC"/>
    <w:rsid w:val="00EC6A86"/>
    <w:rsid w:val="00ED264F"/>
    <w:rsid w:val="00ED7CA8"/>
    <w:rsid w:val="00EE18EC"/>
    <w:rsid w:val="00EF4345"/>
    <w:rsid w:val="00F018D3"/>
    <w:rsid w:val="00F02CC6"/>
    <w:rsid w:val="00F13689"/>
    <w:rsid w:val="00F255C7"/>
    <w:rsid w:val="00F3284B"/>
    <w:rsid w:val="00F32940"/>
    <w:rsid w:val="00F32B2C"/>
    <w:rsid w:val="00F32E14"/>
    <w:rsid w:val="00F35018"/>
    <w:rsid w:val="00F50F41"/>
    <w:rsid w:val="00F6009F"/>
    <w:rsid w:val="00F66AE5"/>
    <w:rsid w:val="00F81034"/>
    <w:rsid w:val="00F828FA"/>
    <w:rsid w:val="00F92CC9"/>
    <w:rsid w:val="00F95416"/>
    <w:rsid w:val="00FA5E61"/>
    <w:rsid w:val="00FB7252"/>
    <w:rsid w:val="00FC2981"/>
    <w:rsid w:val="00FC6FDF"/>
    <w:rsid w:val="00FD0B59"/>
    <w:rsid w:val="00FD107D"/>
    <w:rsid w:val="00FD31C2"/>
    <w:rsid w:val="00FD7601"/>
    <w:rsid w:val="00FD7C89"/>
    <w:rsid w:val="00FE1214"/>
    <w:rsid w:val="00FE482F"/>
    <w:rsid w:val="00FE7BBA"/>
    <w:rsid w:val="00FF2E36"/>
    <w:rsid w:val="00FF4387"/>
    <w:rsid w:val="00FF48DA"/>
    <w:rsid w:val="00FF504C"/>
    <w:rsid w:val="1F6F64EB"/>
    <w:rsid w:val="276E707E"/>
    <w:rsid w:val="6A0F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uiPriority w:val="0"/>
    <w:rPr>
      <w:rFonts w:ascii="宋体"/>
      <w:sz w:val="18"/>
      <w:szCs w:val="18"/>
    </w:rPr>
  </w:style>
  <w:style w:type="paragraph" w:styleId="4">
    <w:name w:val="annotation text"/>
    <w:basedOn w:val="1"/>
    <w:link w:val="12"/>
    <w:semiHidden/>
    <w:unhideWhenUsed/>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annotation reference"/>
    <w:semiHidden/>
    <w:unhideWhenUsed/>
    <w:qFormat/>
    <w:uiPriority w:val="0"/>
    <w:rPr>
      <w:sz w:val="21"/>
      <w:szCs w:val="21"/>
    </w:rPr>
  </w:style>
  <w:style w:type="character" w:customStyle="1" w:styleId="12">
    <w:name w:val="批注文字 字符"/>
    <w:link w:val="4"/>
    <w:semiHidden/>
    <w:qFormat/>
    <w:uiPriority w:val="0"/>
    <w:rPr>
      <w:rFonts w:eastAsia="宋体"/>
      <w:kern w:val="2"/>
      <w:sz w:val="21"/>
      <w:szCs w:val="24"/>
      <w:lang w:val="en-US" w:eastAsia="zh-CN" w:bidi="ar-SA"/>
    </w:rPr>
  </w:style>
  <w:style w:type="character" w:customStyle="1" w:styleId="13">
    <w:name w:val="文档结构图 字符"/>
    <w:basedOn w:val="10"/>
    <w:link w:val="3"/>
    <w:qFormat/>
    <w:uiPriority w:val="0"/>
    <w:rPr>
      <w:rFonts w:ascii="宋体"/>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1523</Words>
  <Characters>1652</Characters>
  <Lines>12</Lines>
  <Paragraphs>3</Paragraphs>
  <TotalTime>0</TotalTime>
  <ScaleCrop>false</ScaleCrop>
  <LinksUpToDate>false</LinksUpToDate>
  <CharactersWithSpaces>1658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2019-02-22T07:40:00Z</dcterms:created>
  <dc:creator>Administrator</dc:creator>
  <cp:lastModifiedBy>刘丽琴</cp:lastModifiedBy>
  <dcterms:modified xsi:type="dcterms:W3CDTF">2026-01-16T01:12:25Z</dcterms:modified>
  <dc:title>T8招标参数</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13B8B6E24D2E44E49F687AD77B769FEB_13</vt:lpwstr>
  </property>
  <property fmtid="{D5CDD505-2E9C-101B-9397-08002B2CF9AE}" pid="4" name="KSOTemplateDocerSaveRecord">
    <vt:lpwstr>eyJoZGlkIjoiOTZiMTliZjJlM2YzMjY1YjY5ZDQxMDgyYjBhMTcxODYiLCJ1c2VySWQiOiI0MTk1MTI5NTcifQ==</vt:lpwstr>
  </property>
</Properties>
</file>