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/>
          <w:b/>
          <w:bCs/>
          <w:sz w:val="44"/>
          <w:szCs w:val="44"/>
        </w:rPr>
      </w:pPr>
    </w:p>
    <w:p w14:paraId="27821491">
      <w:pPr>
        <w:ind w:left="-139" w:leftChars="-66"/>
        <w:jc w:val="center"/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>技</w:t>
      </w:r>
      <w:r>
        <w:rPr>
          <w:rFonts w:hint="eastAsia" w:ascii="宋体" w:hAnsi="宋体"/>
          <w:b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  <w:highlight w:val="none"/>
        </w:rPr>
        <w:t>术</w:t>
      </w:r>
      <w:r>
        <w:rPr>
          <w:rFonts w:hint="eastAsia" w:ascii="宋体" w:hAnsi="宋体"/>
          <w:b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  <w:highlight w:val="none"/>
        </w:rPr>
        <w:t>参</w:t>
      </w:r>
      <w:r>
        <w:rPr>
          <w:rFonts w:hint="eastAsia" w:ascii="宋体" w:hAnsi="宋体"/>
          <w:b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  <w:highlight w:val="none"/>
        </w:rPr>
        <w:t>数</w:t>
      </w:r>
    </w:p>
    <w:p w14:paraId="5AA65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/>
          <w:b/>
          <w:bCs/>
          <w:sz w:val="44"/>
          <w:szCs w:val="44"/>
          <w:highlight w:val="none"/>
        </w:rPr>
      </w:pPr>
    </w:p>
    <w:p w14:paraId="1029CD2D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bookmarkStart w:id="1" w:name="_GoBack"/>
      <w:bookmarkEnd w:id="1"/>
      <w:r>
        <w:rPr>
          <w:rFonts w:hint="eastAsia" w:ascii="宋体" w:hAnsi="宋体"/>
          <w:sz w:val="24"/>
          <w:szCs w:val="24"/>
          <w:highlight w:val="none"/>
        </w:rPr>
        <w:t>光谱波长：黄光峰值波长590±10nm</w:t>
      </w:r>
    </w:p>
    <w:p w14:paraId="2EB0E5CE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sym w:font="Wingdings" w:char="F0AB"/>
      </w:r>
      <w:r>
        <w:rPr>
          <w:rFonts w:hint="eastAsia" w:ascii="宋体" w:hAnsi="宋体"/>
          <w:sz w:val="24"/>
          <w:szCs w:val="24"/>
          <w:highlight w:val="none"/>
        </w:rPr>
        <w:t>光谱波长：红光峰值波长635±10nm</w:t>
      </w:r>
    </w:p>
    <w:p w14:paraId="536CDAFD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sym w:font="Wingdings" w:char="F0AB"/>
      </w:r>
      <w:r>
        <w:rPr>
          <w:rFonts w:hint="eastAsia" w:ascii="宋体" w:hAnsi="宋体"/>
          <w:sz w:val="24"/>
          <w:szCs w:val="24"/>
          <w:highlight w:val="none"/>
        </w:rPr>
        <w:t>灯珠：1440颗LED芯片组成SMD矩阵光源，照射密度均匀，辐射强度高</w:t>
      </w:r>
    </w:p>
    <w:p w14:paraId="1219FCDF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sym w:font="Wingdings" w:char="F0AB"/>
      </w:r>
      <w:r>
        <w:rPr>
          <w:rFonts w:hint="eastAsia" w:ascii="宋体" w:hAnsi="宋体"/>
          <w:sz w:val="24"/>
          <w:szCs w:val="24"/>
          <w:highlight w:val="none"/>
        </w:rPr>
        <w:t>治疗面积：治疗仪的最大出光口平面面积应≥1200cm²</w:t>
      </w:r>
    </w:p>
    <w:p w14:paraId="0A06AC24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光功率密度：距灯珠表面中心垂直5cm处光功率密度≥20mW/cm</w:t>
      </w:r>
      <w:r>
        <w:rPr>
          <w:rFonts w:hint="eastAsia" w:ascii="宋体" w:hAnsi="宋体"/>
          <w:sz w:val="24"/>
          <w:szCs w:val="24"/>
          <w:highlight w:val="none"/>
          <w:vertAlign w:val="superscript"/>
        </w:rPr>
        <w:t>2</w:t>
      </w:r>
    </w:p>
    <w:p w14:paraId="3D068C3D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sym w:font="Wingdings" w:char="F0AB"/>
      </w:r>
      <w:r>
        <w:rPr>
          <w:rFonts w:hint="eastAsia" w:ascii="宋体" w:hAnsi="宋体"/>
          <w:sz w:val="24"/>
          <w:szCs w:val="24"/>
          <w:highlight w:val="none"/>
        </w:rPr>
        <w:t>输出光功率：治疗仪单光源模块输出总的光功率应满足≥12W</w:t>
      </w:r>
    </w:p>
    <w:p w14:paraId="3F3ECB9D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最大治疗深度：治疗仪的最大治疗深度应</w:t>
      </w:r>
      <w:bookmarkStart w:id="0" w:name="_Hlk141650301"/>
      <w:r>
        <w:rPr>
          <w:rFonts w:hint="eastAsia" w:ascii="宋体" w:hAnsi="宋体"/>
          <w:sz w:val="24"/>
          <w:szCs w:val="24"/>
          <w:highlight w:val="none"/>
        </w:rPr>
        <w:t>≥</w:t>
      </w:r>
      <w:bookmarkEnd w:id="0"/>
      <w:r>
        <w:rPr>
          <w:rFonts w:hint="eastAsia" w:ascii="宋体" w:hAnsi="宋体"/>
          <w:sz w:val="24"/>
          <w:szCs w:val="24"/>
          <w:highlight w:val="none"/>
        </w:rPr>
        <w:t>10cm</w:t>
      </w:r>
    </w:p>
    <w:p w14:paraId="67161C80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定时功能：设备应具有定时功能，定时误差应不大于设定值的±2%</w:t>
      </w:r>
    </w:p>
    <w:p w14:paraId="56504BDE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光源功率调节功能：可以在仪器操作面板通过软件调整光功率密度大小。</w:t>
      </w:r>
    </w:p>
    <w:p w14:paraId="617B56AB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有效红光辐照均匀性应大于≥0.</w:t>
      </w:r>
      <w:r>
        <w:rPr>
          <w:rFonts w:ascii="宋体" w:hAnsi="宋体"/>
          <w:sz w:val="24"/>
          <w:szCs w:val="24"/>
          <w:highlight w:val="none"/>
        </w:rPr>
        <w:t>8</w:t>
      </w:r>
    </w:p>
    <w:p w14:paraId="53B8C1DA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有效黄光辐照均匀性应大于≥0.</w:t>
      </w:r>
      <w:r>
        <w:rPr>
          <w:rFonts w:ascii="宋体" w:hAnsi="宋体"/>
          <w:sz w:val="24"/>
          <w:szCs w:val="24"/>
          <w:highlight w:val="none"/>
        </w:rPr>
        <w:t>8</w:t>
      </w:r>
    </w:p>
    <w:p w14:paraId="71F198F7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有效黄光辐照度的不稳定度应≤±10%</w:t>
      </w:r>
    </w:p>
    <w:p w14:paraId="5C863497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有效红光辐照度的不稳定度应≤±10%</w:t>
      </w:r>
    </w:p>
    <w:p w14:paraId="239C5E3F">
      <w:pPr>
        <w:numPr>
          <w:ilvl w:val="0"/>
          <w:numId w:val="1"/>
        </w:numPr>
        <w:spacing w:line="360" w:lineRule="auto"/>
        <w:ind w:left="224" w:hanging="336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sym w:font="Wingdings" w:char="F0AB"/>
      </w:r>
      <w:r>
        <w:rPr>
          <w:rFonts w:hint="eastAsia" w:ascii="宋体" w:hAnsi="宋体"/>
          <w:sz w:val="24"/>
          <w:szCs w:val="24"/>
          <w:highlight w:val="none"/>
        </w:rPr>
        <w:t>光源治疗头：红、黄光任意切换不需更换治疗头；弧型扇面光源治疗头、并可根据部位大小不同伸展调节。</w:t>
      </w:r>
    </w:p>
    <w:p w14:paraId="40D8651D">
      <w:pPr>
        <w:pStyle w:val="8"/>
        <w:numPr>
          <w:ilvl w:val="0"/>
          <w:numId w:val="1"/>
        </w:numPr>
        <w:spacing w:line="360" w:lineRule="auto"/>
        <w:ind w:left="-139" w:leftChars="-66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sym w:font="Wingdings" w:char="F0AB"/>
      </w:r>
      <w:r>
        <w:rPr>
          <w:rFonts w:hint="eastAsia" w:ascii="宋体" w:hAnsi="宋体"/>
          <w:sz w:val="24"/>
          <w:szCs w:val="24"/>
          <w:highlight w:val="none"/>
        </w:rPr>
        <w:t>电源电压波动：电源电压在额定电源电压的±10%之间变化时，有辐照面上中心点的有效辐照度的变化应不大于10%</w:t>
      </w:r>
    </w:p>
    <w:p w14:paraId="48ABD54A">
      <w:pPr>
        <w:pStyle w:val="8"/>
        <w:numPr>
          <w:ilvl w:val="0"/>
          <w:numId w:val="1"/>
        </w:numPr>
        <w:spacing w:line="360" w:lineRule="auto"/>
        <w:ind w:left="252" w:hanging="364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ISO9001质量管理体系认证</w:t>
      </w:r>
    </w:p>
    <w:p w14:paraId="032243DD">
      <w:pPr>
        <w:pStyle w:val="8"/>
        <w:numPr>
          <w:ilvl w:val="0"/>
          <w:numId w:val="1"/>
        </w:numPr>
        <w:spacing w:line="360" w:lineRule="auto"/>
        <w:ind w:left="238" w:hanging="350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ISO13485医疗器械质量管理体系认证</w:t>
      </w:r>
    </w:p>
    <w:p w14:paraId="54922FCE">
      <w:pPr>
        <w:pStyle w:val="8"/>
        <w:numPr>
          <w:ilvl w:val="0"/>
          <w:numId w:val="1"/>
        </w:numPr>
        <w:spacing w:line="360" w:lineRule="auto"/>
        <w:ind w:left="238" w:hanging="350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具有温度指示功能</w:t>
      </w:r>
    </w:p>
    <w:p w14:paraId="0740C65C">
      <w:pPr>
        <w:pStyle w:val="8"/>
        <w:numPr>
          <w:ilvl w:val="0"/>
          <w:numId w:val="1"/>
        </w:numPr>
        <w:spacing w:line="360" w:lineRule="auto"/>
        <w:ind w:left="238" w:hanging="350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治疗支撑臂：航空铝材质，万向可调！</w:t>
      </w:r>
    </w:p>
    <w:p w14:paraId="5B067DB4">
      <w:pPr>
        <w:pStyle w:val="8"/>
        <w:numPr>
          <w:ilvl w:val="0"/>
          <w:numId w:val="1"/>
        </w:numPr>
        <w:spacing w:line="360" w:lineRule="auto"/>
        <w:ind w:left="238" w:hanging="350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显示方式：≥10寸液晶显示屏，</w:t>
      </w:r>
    </w:p>
    <w:p w14:paraId="23114AC5">
      <w:pPr>
        <w:pStyle w:val="8"/>
        <w:numPr>
          <w:ilvl w:val="0"/>
          <w:numId w:val="1"/>
        </w:numPr>
        <w:spacing w:line="360" w:lineRule="auto"/>
        <w:ind w:left="238" w:hanging="350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照射时间控制范围：1-99min可调</w:t>
      </w:r>
    </w:p>
    <w:p w14:paraId="696E1C04">
      <w:pPr>
        <w:pStyle w:val="8"/>
        <w:numPr>
          <w:ilvl w:val="0"/>
          <w:numId w:val="1"/>
        </w:numPr>
        <w:spacing w:line="360" w:lineRule="auto"/>
        <w:ind w:left="238" w:hanging="350"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sym w:font="Wingdings" w:char="F0AB"/>
      </w:r>
      <w:r>
        <w:rPr>
          <w:rFonts w:hint="eastAsia" w:ascii="宋体" w:hAnsi="宋体"/>
          <w:sz w:val="24"/>
          <w:szCs w:val="24"/>
          <w:highlight w:val="none"/>
        </w:rPr>
        <w:t>三档可控：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一档：红光 5mW/cm</w:t>
      </w: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2     </w:t>
      </w:r>
      <w:r>
        <w:rPr>
          <w:rFonts w:hint="eastAsia" w:ascii="宋体" w:hAnsi="宋体"/>
          <w:sz w:val="24"/>
          <w:szCs w:val="24"/>
          <w:highlight w:val="none"/>
        </w:rPr>
        <w:t>黄光 3mW/cm</w:t>
      </w: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2 </w:t>
      </w:r>
    </w:p>
    <w:p w14:paraId="4035A4FD">
      <w:pPr>
        <w:pStyle w:val="8"/>
        <w:spacing w:line="360" w:lineRule="auto"/>
        <w:ind w:left="-112" w:firstLine="0" w:firstLineChars="0"/>
        <w:rPr>
          <w:rFonts w:hint="eastAsia" w:ascii="宋体" w:hAnsi="宋体"/>
          <w:sz w:val="24"/>
          <w:szCs w:val="24"/>
          <w:highlight w:val="none"/>
          <w:vertAlign w:val="superscript"/>
        </w:rPr>
      </w:pP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 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二档：红光 10mW/cm</w:t>
      </w: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2   </w:t>
      </w:r>
      <w:r>
        <w:rPr>
          <w:rFonts w:hint="eastAsia" w:ascii="宋体" w:hAnsi="宋体"/>
          <w:sz w:val="24"/>
          <w:szCs w:val="24"/>
          <w:highlight w:val="none"/>
        </w:rPr>
        <w:t>黄光 5mW/cm</w:t>
      </w: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2 </w:t>
      </w:r>
    </w:p>
    <w:p w14:paraId="65074816">
      <w:pPr>
        <w:pStyle w:val="8"/>
        <w:spacing w:line="360" w:lineRule="auto"/>
        <w:ind w:left="-112" w:firstLine="0" w:firstLineChars="0"/>
        <w:rPr>
          <w:rFonts w:hint="eastAsia" w:ascii="宋体" w:hAnsi="宋体"/>
          <w:sz w:val="24"/>
          <w:szCs w:val="24"/>
          <w:highlight w:val="none"/>
          <w:vertAlign w:val="superscript"/>
        </w:rPr>
      </w:pP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     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三档：红光 15mW/cm</w:t>
      </w: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2    </w:t>
      </w:r>
      <w:r>
        <w:rPr>
          <w:rFonts w:hint="eastAsia" w:ascii="宋体" w:hAnsi="宋体"/>
          <w:sz w:val="24"/>
          <w:szCs w:val="24"/>
          <w:highlight w:val="none"/>
        </w:rPr>
        <w:t>黄光 7mW/cm</w:t>
      </w:r>
      <w:r>
        <w:rPr>
          <w:rFonts w:hint="eastAsia" w:ascii="宋体" w:hAnsi="宋体"/>
          <w:sz w:val="24"/>
          <w:szCs w:val="24"/>
          <w:highlight w:val="none"/>
          <w:vertAlign w:val="superscript"/>
        </w:rPr>
        <w:t xml:space="preserve">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73A49"/>
    <w:multiLevelType w:val="multilevel"/>
    <w:tmpl w:val="3D373A49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D0"/>
    <w:rsid w:val="0019763A"/>
    <w:rsid w:val="001E06F6"/>
    <w:rsid w:val="00222130"/>
    <w:rsid w:val="003521CE"/>
    <w:rsid w:val="004E414B"/>
    <w:rsid w:val="006776D3"/>
    <w:rsid w:val="006D6F8F"/>
    <w:rsid w:val="006F2B20"/>
    <w:rsid w:val="00992155"/>
    <w:rsid w:val="009A4D93"/>
    <w:rsid w:val="00B37A9E"/>
    <w:rsid w:val="00BB27D0"/>
    <w:rsid w:val="00C431D9"/>
    <w:rsid w:val="00CC661F"/>
    <w:rsid w:val="00DC4B4B"/>
    <w:rsid w:val="00E4242F"/>
    <w:rsid w:val="00F4792A"/>
    <w:rsid w:val="00FB3FCB"/>
    <w:rsid w:val="05D539CD"/>
    <w:rsid w:val="0760436C"/>
    <w:rsid w:val="53A55CFB"/>
    <w:rsid w:val="602256FB"/>
    <w:rsid w:val="607D065B"/>
    <w:rsid w:val="7D3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603</Characters>
  <Lines>5</Lines>
  <Paragraphs>1</Paragraphs>
  <TotalTime>109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2024-10-10T14:34:00Z</dcterms:created>
  <dc:creator>Administrator</dc:creator>
  <cp:lastModifiedBy>肖鹏</cp:lastModifiedBy>
  <dcterms:modified xsi:type="dcterms:W3CDTF">2026-07-16T07:11:57Z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eyJoZGlkIjoiMmJjYmMzOTM2ZjkzYmU4NWJlMmI2MGNkNjZhYTI2YzQiLCJ1c2VySWQiOiI0NDgxMDU1MzYifQ==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077624A0561F4FDFB7C2D6368AEEA111_13</vt:lpwstr>
  </property>
</Properties>
</file>