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254"/>
        <w:gridCol w:w="6657"/>
      </w:tblGrid>
      <w:tr w:rsidR="00E1389B" w14:paraId="1D19A161" w14:textId="77777777" w:rsidTr="002467B8">
        <w:trPr>
          <w:cantSplit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6FA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B5D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C0C3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承诺内容</w:t>
            </w:r>
          </w:p>
        </w:tc>
      </w:tr>
      <w:tr w:rsidR="00E1389B" w14:paraId="42E265CF" w14:textId="77777777" w:rsidTr="002467B8">
        <w:trPr>
          <w:cantSplit/>
          <w:trHeight w:val="218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3FA" w14:textId="77777777" w:rsidR="00E1389B" w:rsidRDefault="00E1389B" w:rsidP="002467B8">
            <w:pPr>
              <w:pStyle w:val="11"/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16F" w14:textId="77777777" w:rsidR="00E1389B" w:rsidRDefault="00E1389B" w:rsidP="002467B8">
            <w:pPr>
              <w:pStyle w:val="11"/>
              <w:widowControl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维保期内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23A7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（1）接到院方通过电话，信函，传真，电子邮件，售后服务群等方式提出关于软件的服务请求后，须在当日内给予响应，未及时处理的问题，应主动及时和问题反馈人沟通。</w:t>
            </w:r>
          </w:p>
          <w:p w14:paraId="39869FD3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（2）系统故障时，随时提供远程维护服务。</w:t>
            </w:r>
          </w:p>
          <w:p w14:paraId="7CAE398A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（3）远程维护不能解决的问题，安排技术人员到达甲方现场排查处理软件故障，若出现系统无法启动使用的紧急情况，安排技术人员1个工作日内到达现场进行故障处理。</w:t>
            </w:r>
          </w:p>
        </w:tc>
      </w:tr>
      <w:tr w:rsidR="00E1389B" w14:paraId="3CFA2BD5" w14:textId="77777777" w:rsidTr="002467B8">
        <w:trPr>
          <w:cantSplit/>
          <w:trHeight w:val="280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7A6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AFC9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培训方案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B2F9" w14:textId="77777777" w:rsidR="00E1389B" w:rsidRDefault="00E1389B" w:rsidP="002467B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产品标准培训：</w:t>
            </w:r>
          </w:p>
          <w:p w14:paraId="519ADC16" w14:textId="77777777" w:rsidR="00E1389B" w:rsidRDefault="00E1389B" w:rsidP="002467B8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承担本项目产品的标准培训。对院方操作人员进行专业的技术培训，及时响应系统操作人员要求实施培训，使其达到熟练操作，能够解决一般故障。</w:t>
            </w:r>
          </w:p>
        </w:tc>
      </w:tr>
      <w:tr w:rsidR="00E1389B" w14:paraId="1AA4AAA6" w14:textId="77777777" w:rsidTr="002467B8">
        <w:trPr>
          <w:cantSplit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D2C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62C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方案内容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320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提供技术支持与服务：</w:t>
            </w:r>
          </w:p>
          <w:p w14:paraId="1ECD7DA3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（1）提供免费服务电话，7×24小时售后响应服务；</w:t>
            </w:r>
          </w:p>
          <w:p w14:paraId="4C5993BB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（2）建立客户服务电子档案，登记客户联系信息，记录每次客户请求及其服务过程，确保客户问题的解决；</w:t>
            </w:r>
          </w:p>
          <w:p w14:paraId="23854BA5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（3）配备专门客服人员及技术维护工程师，每季度满意度回访，关注客户使用体验；</w:t>
            </w:r>
          </w:p>
          <w:p w14:paraId="4BB3C332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（4）提供电话、传真、电子邮件、远程等方式指导医院使用系统；</w:t>
            </w:r>
          </w:p>
          <w:p w14:paraId="4A542F3A" w14:textId="2C9286CE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（5）每年度提供一次现场系统巡检，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四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次远程系统巡检，根据巡检情况出具巡检服务报告。</w:t>
            </w:r>
          </w:p>
        </w:tc>
      </w:tr>
      <w:tr w:rsidR="00E1389B" w14:paraId="7414DD85" w14:textId="77777777" w:rsidTr="002467B8">
        <w:trPr>
          <w:cantSplit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6F55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F3A" w14:textId="77777777" w:rsidR="00E1389B" w:rsidRDefault="00E1389B" w:rsidP="002467B8">
            <w:pPr>
              <w:pStyle w:val="11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服务内容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B9F" w14:textId="77777777" w:rsidR="00E1389B" w:rsidRDefault="00E1389B" w:rsidP="002467B8">
            <w:pPr>
              <w:autoSpaceDE w:val="0"/>
              <w:autoSpaceDN w:val="0"/>
              <w:spacing w:beforeLines="50" w:before="156" w:afterLines="50" w:after="156" w:line="36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2"/>
                <w:sz w:val="24"/>
                <w:szCs w:val="24"/>
              </w:rPr>
              <w:t>（1）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例行操作服务：服务提供方提供预定例行服务，以及时获得支行维护对象状态，发现并处理潜在的故障隐患。服务提供方提交运行状态信息记录。运行状态异常处理记录、趋势分析及可能的风险消除建议，运行维护服务对象配置信息记录等。</w:t>
            </w:r>
          </w:p>
          <w:p w14:paraId="0CB0FDA7" w14:textId="77777777" w:rsidR="00E1389B" w:rsidRDefault="00E1389B" w:rsidP="002467B8">
            <w:pPr>
              <w:autoSpaceDE w:val="0"/>
              <w:autoSpaceDN w:val="0"/>
              <w:spacing w:beforeLines="50" w:before="156" w:afterLines="50" w:after="156" w:line="36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2"/>
                <w:sz w:val="24"/>
                <w:szCs w:val="24"/>
              </w:rPr>
              <w:t>（2）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响应支持服务，服务提供方对服务请求或故障申报提供即时服务，提交响应支持记录。响应支持关键指标数据记录，重大事件（故障）分析改进报告，运行维护服务对象配置信息更新记录等。</w:t>
            </w:r>
          </w:p>
          <w:p w14:paraId="7CFFAFCE" w14:textId="77777777" w:rsidR="00E1389B" w:rsidRDefault="00E1389B" w:rsidP="002467B8">
            <w:pPr>
              <w:autoSpaceDE w:val="0"/>
              <w:autoSpaceDN w:val="0"/>
              <w:spacing w:beforeLines="50" w:before="156" w:afterLines="50" w:after="156" w:line="36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2"/>
                <w:sz w:val="24"/>
                <w:szCs w:val="24"/>
              </w:rPr>
              <w:t>（3）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优化改善服务，服务提供方对运行维护服务对象提供功能或性能的调优服务。如数据库优化、网络优化等。服务提供方提交优化改善方案及相关评审记录、优化改善实施的变更和报告、运行维护服务对象配置信息更新记录等。</w:t>
            </w:r>
          </w:p>
          <w:p w14:paraId="78085E41" w14:textId="77777777" w:rsidR="00E1389B" w:rsidRDefault="00E1389B" w:rsidP="002467B8">
            <w:pPr>
              <w:pStyle w:val="11"/>
              <w:spacing w:line="360" w:lineRule="auto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（4）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咨询评估服务，服务提供方结合业务需求，通过对运行维护服务对象的调研和分析，提出咨询建议和评估方案。服务提供方提交调研评估计划书、调研评估分析报告。调研评估的规划方案或建议及评审记录等。</w:t>
            </w:r>
          </w:p>
        </w:tc>
      </w:tr>
    </w:tbl>
    <w:p w14:paraId="3368FA10" w14:textId="77777777" w:rsidR="00FE5907" w:rsidRDefault="00FE5907">
      <w:pPr>
        <w:rPr>
          <w:rFonts w:hint="eastAsia"/>
        </w:rPr>
      </w:pPr>
    </w:p>
    <w:sectPr w:rsidR="00FE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32"/>
    <w:rsid w:val="004D1732"/>
    <w:rsid w:val="005B6B4E"/>
    <w:rsid w:val="006D7CB2"/>
    <w:rsid w:val="00E1389B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A212"/>
  <w15:chartTrackingRefBased/>
  <w15:docId w15:val="{A0B741FE-F187-49C3-BA11-BB9D16F3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9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D173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73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7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1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73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73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73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4D1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73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4D1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73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4D1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732"/>
    <w:rPr>
      <w:b/>
      <w:bCs/>
      <w:smallCaps/>
      <w:color w:val="2F5496" w:themeColor="accent1" w:themeShade="BF"/>
      <w:spacing w:val="5"/>
    </w:rPr>
  </w:style>
  <w:style w:type="paragraph" w:customStyle="1" w:styleId="11">
    <w:name w:val="正文_11"/>
    <w:qFormat/>
    <w:rsid w:val="00E1389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蹦 巧克</dc:creator>
  <cp:keywords/>
  <dc:description/>
  <cp:lastModifiedBy>蹦 巧克</cp:lastModifiedBy>
  <cp:revision>2</cp:revision>
  <dcterms:created xsi:type="dcterms:W3CDTF">2026-07-15T07:47:00Z</dcterms:created>
  <dcterms:modified xsi:type="dcterms:W3CDTF">2026-07-15T07:48:00Z</dcterms:modified>
</cp:coreProperties>
</file>