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75EA4">
      <w:pPr>
        <w:pStyle w:val="2"/>
        <w:numPr>
          <w:ilvl w:val="0"/>
          <w:numId w:val="0"/>
        </w:numPr>
        <w:spacing w:line="240" w:lineRule="auto"/>
        <w:ind w:firstLine="1807" w:firstLineChars="600"/>
        <w:jc w:val="both"/>
        <w:rPr>
          <w:rFonts w:hint="eastAsia" w:ascii="宋体" w:hAnsi="宋体" w:cs="宋体"/>
          <w:color w:val="auto"/>
          <w:sz w:val="30"/>
          <w:szCs w:val="30"/>
          <w:highlight w:val="none"/>
        </w:rPr>
      </w:pPr>
      <w:r>
        <w:rPr>
          <w:rFonts w:hint="eastAsia" w:ascii="宋体" w:hAnsi="宋体" w:cs="宋体"/>
          <w:color w:val="auto"/>
          <w:sz w:val="30"/>
          <w:szCs w:val="30"/>
          <w:highlight w:val="none"/>
          <w:lang w:val="en-US" w:eastAsia="zh-CN"/>
        </w:rPr>
        <w:t>医疗仪器</w:t>
      </w:r>
      <w:r>
        <w:rPr>
          <w:rFonts w:hint="eastAsia" w:ascii="宋体" w:hAnsi="宋体" w:cs="宋体"/>
          <w:color w:val="auto"/>
          <w:sz w:val="30"/>
          <w:szCs w:val="30"/>
          <w:highlight w:val="none"/>
          <w:lang w:eastAsia="zh-CN"/>
        </w:rPr>
        <w:t>设备</w:t>
      </w:r>
      <w:r>
        <w:rPr>
          <w:rFonts w:hint="eastAsia" w:ascii="宋体" w:hAnsi="宋体" w:cs="宋体"/>
          <w:color w:val="auto"/>
          <w:sz w:val="30"/>
          <w:szCs w:val="30"/>
          <w:highlight w:val="none"/>
          <w:lang w:val="en-US" w:eastAsia="zh-CN"/>
        </w:rPr>
        <w:t>询价</w:t>
      </w:r>
      <w:r>
        <w:rPr>
          <w:rFonts w:hint="eastAsia" w:ascii="宋体" w:hAnsi="宋体" w:cs="宋体"/>
          <w:color w:val="auto"/>
          <w:sz w:val="30"/>
          <w:szCs w:val="30"/>
          <w:highlight w:val="none"/>
          <w:lang w:eastAsia="zh-CN"/>
        </w:rPr>
        <w:t>议价</w:t>
      </w:r>
      <w:r>
        <w:rPr>
          <w:rFonts w:hint="eastAsia" w:ascii="宋体" w:hAnsi="宋体" w:cs="宋体"/>
          <w:color w:val="auto"/>
          <w:sz w:val="30"/>
          <w:szCs w:val="30"/>
          <w:highlight w:val="none"/>
        </w:rPr>
        <w:t>方法及标准</w:t>
      </w:r>
    </w:p>
    <w:p w14:paraId="3C55E0EE">
      <w:pPr>
        <w:adjustRightInd w:val="0"/>
        <w:snapToGrid w:val="0"/>
        <w:spacing w:line="360" w:lineRule="auto"/>
        <w:jc w:val="center"/>
        <w:rPr>
          <w:rFonts w:hint="eastAsia" w:ascii="宋体" w:hAnsi="宋体" w:cs="宋体"/>
          <w:b/>
          <w:color w:val="auto"/>
          <w:sz w:val="24"/>
          <w:szCs w:val="20"/>
          <w:highlight w:val="none"/>
        </w:rPr>
      </w:pPr>
      <w:r>
        <w:rPr>
          <w:rFonts w:hint="eastAsia" w:ascii="宋体" w:hAnsi="宋体" w:cs="宋体"/>
          <w:b/>
          <w:color w:val="auto"/>
          <w:sz w:val="24"/>
          <w:szCs w:val="20"/>
          <w:highlight w:val="none"/>
        </w:rPr>
        <w:t>一、资格审查</w:t>
      </w:r>
    </w:p>
    <w:p w14:paraId="7FCBED9B">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1、资格审查依据法律法规和</w:t>
      </w:r>
      <w:r>
        <w:rPr>
          <w:rFonts w:hint="eastAsia" w:ascii="宋体" w:hAnsi="宋体" w:cs="宋体"/>
          <w:color w:val="auto"/>
          <w:sz w:val="24"/>
          <w:highlight w:val="none"/>
          <w:lang w:eastAsia="zh-CN"/>
        </w:rPr>
        <w:t>议价</w:t>
      </w:r>
      <w:r>
        <w:rPr>
          <w:rFonts w:hint="eastAsia" w:ascii="宋体" w:hAnsi="宋体" w:cs="宋体"/>
          <w:color w:val="auto"/>
          <w:sz w:val="24"/>
          <w:highlight w:val="none"/>
        </w:rPr>
        <w:t>文件的规定，对</w:t>
      </w:r>
      <w:r>
        <w:rPr>
          <w:rFonts w:hint="eastAsia" w:ascii="宋体" w:hAnsi="宋体" w:cs="宋体"/>
          <w:color w:val="auto"/>
          <w:sz w:val="24"/>
          <w:highlight w:val="none"/>
          <w:lang w:eastAsia="zh-CN"/>
        </w:rPr>
        <w:t>议价</w:t>
      </w:r>
      <w:r>
        <w:rPr>
          <w:rFonts w:hint="eastAsia" w:ascii="宋体" w:hAnsi="宋体" w:cs="宋体"/>
          <w:color w:val="auto"/>
          <w:sz w:val="24"/>
          <w:highlight w:val="none"/>
        </w:rPr>
        <w:t>文件中的资格证明文件、</w:t>
      </w:r>
      <w:r>
        <w:rPr>
          <w:rFonts w:hint="eastAsia" w:ascii="宋体" w:hAnsi="宋体" w:cs="宋体"/>
          <w:color w:val="auto"/>
          <w:sz w:val="24"/>
          <w:highlight w:val="none"/>
          <w:lang w:eastAsia="zh-CN"/>
        </w:rPr>
        <w:t>议价</w:t>
      </w:r>
      <w:r>
        <w:rPr>
          <w:rFonts w:hint="eastAsia" w:ascii="宋体" w:hAnsi="宋体" w:cs="宋体"/>
          <w:color w:val="auto"/>
          <w:sz w:val="24"/>
          <w:highlight w:val="none"/>
        </w:rPr>
        <w:t>报价等内容进行审查，以确定</w:t>
      </w:r>
      <w:r>
        <w:rPr>
          <w:rFonts w:hint="eastAsia" w:ascii="宋体" w:hAnsi="宋体" w:cs="宋体"/>
          <w:color w:val="auto"/>
          <w:sz w:val="24"/>
          <w:highlight w:val="none"/>
          <w:lang w:eastAsia="zh-CN"/>
        </w:rPr>
        <w:t>议价</w:t>
      </w:r>
      <w:r>
        <w:rPr>
          <w:rFonts w:hint="eastAsia" w:ascii="宋体" w:hAnsi="宋体" w:cs="宋体"/>
          <w:color w:val="auto"/>
          <w:sz w:val="24"/>
          <w:highlight w:val="none"/>
        </w:rPr>
        <w:t>供应商是否具备</w:t>
      </w:r>
      <w:r>
        <w:rPr>
          <w:rFonts w:hint="eastAsia" w:ascii="宋体" w:hAnsi="宋体" w:cs="宋体"/>
          <w:color w:val="auto"/>
          <w:sz w:val="24"/>
          <w:highlight w:val="none"/>
          <w:lang w:eastAsia="zh-CN"/>
        </w:rPr>
        <w:t>议价</w:t>
      </w:r>
      <w:r>
        <w:rPr>
          <w:rFonts w:hint="eastAsia" w:ascii="宋体" w:hAnsi="宋体" w:cs="宋体"/>
          <w:color w:val="auto"/>
          <w:sz w:val="24"/>
          <w:highlight w:val="none"/>
        </w:rPr>
        <w:t>资格。</w:t>
      </w:r>
    </w:p>
    <w:p w14:paraId="74050BD4">
      <w:pPr>
        <w:adjustRightInd w:val="0"/>
        <w:snapToGrid w:val="0"/>
        <w:spacing w:line="360" w:lineRule="auto"/>
        <w:rPr>
          <w:rFonts w:hint="eastAsia" w:ascii="宋体" w:hAnsi="宋体" w:cs="宋体"/>
          <w:b/>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highlight w:val="none"/>
        </w:rPr>
        <w:t>资格审查结果为不合格的</w:t>
      </w:r>
      <w:r>
        <w:rPr>
          <w:rFonts w:hint="eastAsia" w:ascii="宋体" w:hAnsi="宋体" w:cs="宋体"/>
          <w:color w:val="auto"/>
          <w:sz w:val="24"/>
          <w:highlight w:val="none"/>
          <w:lang w:eastAsia="zh-CN"/>
        </w:rPr>
        <w:t>议价</w:t>
      </w:r>
      <w:r>
        <w:rPr>
          <w:rFonts w:hint="eastAsia" w:ascii="宋体" w:hAnsi="宋体" w:cs="宋体"/>
          <w:color w:val="auto"/>
          <w:sz w:val="24"/>
          <w:highlight w:val="none"/>
        </w:rPr>
        <w:t>人，不进入综合评分。</w:t>
      </w:r>
    </w:p>
    <w:p w14:paraId="74B009EE">
      <w:pPr>
        <w:adjustRightInd w:val="0"/>
        <w:snapToGrid w:val="0"/>
        <w:spacing w:line="360" w:lineRule="auto"/>
        <w:jc w:val="center"/>
        <w:rPr>
          <w:rFonts w:hint="eastAsia" w:ascii="宋体" w:hAnsi="宋体" w:cs="宋体"/>
          <w:b/>
          <w:color w:val="auto"/>
          <w:sz w:val="24"/>
          <w:szCs w:val="20"/>
          <w:highlight w:val="none"/>
        </w:rPr>
      </w:pPr>
      <w:r>
        <w:rPr>
          <w:rFonts w:hint="eastAsia" w:ascii="宋体" w:hAnsi="宋体" w:cs="宋体"/>
          <w:b/>
          <w:color w:val="auto"/>
          <w:sz w:val="24"/>
          <w:szCs w:val="20"/>
          <w:highlight w:val="none"/>
        </w:rPr>
        <w:t>二、综合评分表</w:t>
      </w:r>
    </w:p>
    <w:tbl>
      <w:tblPr>
        <w:tblStyle w:val="4"/>
        <w:tblW w:w="10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041"/>
        <w:gridCol w:w="597"/>
        <w:gridCol w:w="7709"/>
      </w:tblGrid>
      <w:tr w14:paraId="0CC7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359E6E3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条款号</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9F78CE4">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评分点名称</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0125B3F">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分数</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4B721ECE">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评</w:t>
            </w:r>
            <w:r>
              <w:rPr>
                <w:rFonts w:hint="eastAsia" w:ascii="宋体" w:hAnsi="宋体" w:cs="宋体"/>
                <w:color w:val="auto"/>
                <w:szCs w:val="21"/>
                <w:highlight w:val="none"/>
                <w:lang w:val="en-US" w:eastAsia="zh-CN" w:bidi="ar"/>
              </w:rPr>
              <w:t>分</w:t>
            </w:r>
            <w:r>
              <w:rPr>
                <w:rFonts w:hint="eastAsia" w:ascii="宋体" w:hAnsi="宋体" w:cs="宋体"/>
                <w:color w:val="auto"/>
                <w:szCs w:val="21"/>
                <w:highlight w:val="none"/>
                <w:lang w:bidi="ar"/>
              </w:rPr>
              <w:t>标准</w:t>
            </w:r>
          </w:p>
        </w:tc>
      </w:tr>
      <w:tr w14:paraId="4D31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14:paraId="1EEC589E">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报价</w:t>
            </w:r>
          </w:p>
          <w:p w14:paraId="284BB49C">
            <w:pPr>
              <w:jc w:val="center"/>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bidi="ar"/>
              </w:rPr>
              <w:t>评</w:t>
            </w:r>
            <w:r>
              <w:rPr>
                <w:rFonts w:hint="eastAsia" w:ascii="宋体" w:hAnsi="宋体" w:cs="宋体"/>
                <w:color w:val="auto"/>
                <w:szCs w:val="21"/>
                <w:highlight w:val="none"/>
                <w:lang w:val="en-US" w:eastAsia="zh-CN" w:bidi="ar"/>
              </w:rPr>
              <w:t>分</w:t>
            </w:r>
          </w:p>
          <w:p w14:paraId="0886B97A">
            <w:pPr>
              <w:jc w:val="center"/>
              <w:rPr>
                <w:color w:val="auto"/>
                <w:szCs w:val="21"/>
                <w:highlight w:val="none"/>
              </w:rPr>
            </w:pPr>
            <w:r>
              <w:rPr>
                <w:rFonts w:hint="eastAsia" w:ascii="宋体" w:hAnsi="宋体" w:cs="宋体"/>
                <w:color w:val="auto"/>
                <w:szCs w:val="21"/>
                <w:highlight w:val="none"/>
                <w:lang w:bidi="ar"/>
              </w:rPr>
              <w:t>（30分）</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D4B607E">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报价</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407A4A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30</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08402149">
            <w:pPr>
              <w:pStyle w:val="3"/>
              <w:spacing w:before="0" w:beforeAutospacing="0" w:after="0" w:afterAutospacing="0"/>
              <w:rPr>
                <w:rFonts w:hint="eastAsia" w:cs="宋体"/>
                <w:color w:val="auto"/>
                <w:kern w:val="2"/>
                <w:sz w:val="21"/>
                <w:szCs w:val="21"/>
                <w:highlight w:val="none"/>
              </w:rPr>
            </w:pPr>
            <w:r>
              <w:rPr>
                <w:rFonts w:hint="eastAsia" w:cs="宋体"/>
                <w:color w:val="auto"/>
                <w:kern w:val="2"/>
                <w:sz w:val="21"/>
                <w:szCs w:val="21"/>
                <w:highlight w:val="none"/>
                <w:lang w:eastAsia="zh-CN" w:bidi="ar"/>
              </w:rPr>
              <w:t>以经</w:t>
            </w:r>
            <w:r>
              <w:rPr>
                <w:rFonts w:hint="eastAsia" w:cs="宋体"/>
                <w:color w:val="auto"/>
                <w:kern w:val="2"/>
                <w:sz w:val="21"/>
                <w:szCs w:val="21"/>
                <w:highlight w:val="none"/>
                <w:lang w:val="en-US" w:eastAsia="zh-CN" w:bidi="ar"/>
              </w:rPr>
              <w:t>议价小组成员</w:t>
            </w:r>
            <w:r>
              <w:rPr>
                <w:rFonts w:hint="eastAsia" w:cs="宋体"/>
                <w:color w:val="auto"/>
                <w:kern w:val="2"/>
                <w:sz w:val="21"/>
                <w:szCs w:val="21"/>
                <w:highlight w:val="none"/>
                <w:lang w:eastAsia="zh-CN" w:bidi="ar"/>
              </w:rPr>
              <w:t>一致认定</w:t>
            </w:r>
            <w:r>
              <w:rPr>
                <w:rFonts w:hint="eastAsia" w:cs="宋体"/>
                <w:color w:val="auto"/>
                <w:kern w:val="2"/>
                <w:sz w:val="21"/>
                <w:szCs w:val="21"/>
                <w:highlight w:val="none"/>
                <w:lang w:bidi="ar"/>
              </w:rPr>
              <w:t>满足</w:t>
            </w:r>
            <w:r>
              <w:rPr>
                <w:rFonts w:hint="eastAsia" w:cs="宋体"/>
                <w:color w:val="auto"/>
                <w:kern w:val="2"/>
                <w:sz w:val="21"/>
                <w:szCs w:val="21"/>
                <w:highlight w:val="none"/>
                <w:lang w:eastAsia="zh-CN" w:bidi="ar"/>
              </w:rPr>
              <w:t>议价</w:t>
            </w:r>
            <w:r>
              <w:rPr>
                <w:rFonts w:hint="eastAsia" w:cs="宋体"/>
                <w:color w:val="auto"/>
                <w:kern w:val="2"/>
                <w:sz w:val="21"/>
                <w:szCs w:val="21"/>
                <w:highlight w:val="none"/>
                <w:lang w:bidi="ar"/>
              </w:rPr>
              <w:t>文件要求且</w:t>
            </w:r>
            <w:r>
              <w:rPr>
                <w:rFonts w:hint="eastAsia" w:cs="宋体"/>
                <w:color w:val="auto"/>
                <w:kern w:val="2"/>
                <w:sz w:val="21"/>
                <w:szCs w:val="21"/>
                <w:highlight w:val="none"/>
                <w:lang w:eastAsia="zh-CN" w:bidi="ar"/>
              </w:rPr>
              <w:t>报价</w:t>
            </w:r>
            <w:r>
              <w:rPr>
                <w:rFonts w:hint="eastAsia" w:cs="宋体"/>
                <w:color w:val="auto"/>
                <w:kern w:val="2"/>
                <w:sz w:val="21"/>
                <w:szCs w:val="21"/>
                <w:highlight w:val="none"/>
                <w:lang w:bidi="ar"/>
              </w:rPr>
              <w:t>价格最低的报价为</w:t>
            </w:r>
            <w:r>
              <w:rPr>
                <w:rFonts w:hint="eastAsia" w:cs="宋体"/>
                <w:color w:val="auto"/>
                <w:kern w:val="2"/>
                <w:sz w:val="21"/>
                <w:szCs w:val="21"/>
                <w:highlight w:val="none"/>
                <w:lang w:eastAsia="zh-CN" w:bidi="ar"/>
              </w:rPr>
              <w:t>评分</w:t>
            </w:r>
            <w:r>
              <w:rPr>
                <w:rFonts w:hint="eastAsia" w:cs="宋体"/>
                <w:color w:val="auto"/>
                <w:kern w:val="2"/>
                <w:sz w:val="21"/>
                <w:szCs w:val="21"/>
                <w:highlight w:val="none"/>
                <w:lang w:bidi="ar"/>
              </w:rPr>
              <w:t>基准价，其价格得分为满分。其他供应商的价格得分统一按公式计算：报价得分＝基准价÷报价×30。</w:t>
            </w:r>
          </w:p>
          <w:p w14:paraId="02F033A0">
            <w:pPr>
              <w:pStyle w:val="3"/>
              <w:spacing w:before="0" w:beforeAutospacing="0" w:after="0" w:afterAutospacing="0"/>
              <w:rPr>
                <w:rFonts w:hint="eastAsia" w:cs="宋体"/>
                <w:color w:val="auto"/>
                <w:kern w:val="2"/>
                <w:sz w:val="21"/>
                <w:szCs w:val="21"/>
                <w:highlight w:val="none"/>
              </w:rPr>
            </w:pPr>
            <w:r>
              <w:rPr>
                <w:rFonts w:hint="eastAsia" w:cs="宋体"/>
                <w:color w:val="auto"/>
                <w:kern w:val="2"/>
                <w:sz w:val="21"/>
                <w:szCs w:val="21"/>
                <w:highlight w:val="none"/>
                <w:lang w:bidi="ar"/>
              </w:rPr>
              <w:t>（分数四舍五入保留到小数点后两位）。</w:t>
            </w:r>
          </w:p>
          <w:p w14:paraId="4B35B9BE">
            <w:pPr>
              <w:pStyle w:val="3"/>
              <w:widowControl w:val="0"/>
              <w:autoSpaceDE w:val="0"/>
              <w:autoSpaceDN w:val="0"/>
              <w:adjustRightInd w:val="0"/>
              <w:spacing w:before="0" w:beforeAutospacing="0" w:after="0" w:afterAutospacing="0"/>
              <w:rPr>
                <w:rFonts w:hint="eastAsia" w:cs="宋体"/>
                <w:color w:val="auto"/>
                <w:kern w:val="2"/>
                <w:sz w:val="21"/>
                <w:szCs w:val="21"/>
                <w:highlight w:val="none"/>
              </w:rPr>
            </w:pPr>
            <w:r>
              <w:rPr>
                <w:rFonts w:hint="eastAsia" w:cs="宋体"/>
                <w:color w:val="auto"/>
                <w:kern w:val="2"/>
                <w:sz w:val="21"/>
                <w:szCs w:val="21"/>
                <w:highlight w:val="none"/>
                <w:lang w:val="en-US" w:eastAsia="zh-CN" w:bidi="ar"/>
              </w:rPr>
              <w:t>议价小组成员</w:t>
            </w:r>
            <w:r>
              <w:rPr>
                <w:rFonts w:hint="eastAsia" w:cs="宋体"/>
                <w:color w:val="auto"/>
                <w:kern w:val="2"/>
                <w:sz w:val="21"/>
                <w:szCs w:val="21"/>
                <w:highlight w:val="none"/>
                <w:lang w:bidi="ar"/>
              </w:rPr>
              <w:t>认为供应商的报价明显低于其他通过符合性审查供应商的报价，有可能影响产品质量或者不能诚信履约的，应当要求其在评标现场合理的</w:t>
            </w:r>
            <w:r>
              <w:rPr>
                <w:rFonts w:hint="eastAsia" w:cs="宋体"/>
                <w:color w:val="auto"/>
                <w:kern w:val="2"/>
                <w:sz w:val="21"/>
                <w:szCs w:val="21"/>
                <w:highlight w:val="none"/>
                <w:lang w:val="en-US" w:eastAsia="zh-CN" w:bidi="ar"/>
              </w:rPr>
              <w:t>时间内提供书面说明，必要时提交相关证明材料；供应商不能证明其报价合理性的，议价小组成员</w:t>
            </w:r>
            <w:r>
              <w:rPr>
                <w:rFonts w:hint="eastAsia" w:cs="宋体"/>
                <w:color w:val="auto"/>
                <w:kern w:val="2"/>
                <w:sz w:val="21"/>
                <w:szCs w:val="21"/>
                <w:highlight w:val="none"/>
                <w:lang w:bidi="ar"/>
              </w:rPr>
              <w:t>应当将其作为无效</w:t>
            </w:r>
            <w:r>
              <w:rPr>
                <w:rFonts w:hint="eastAsia" w:cs="宋体"/>
                <w:color w:val="auto"/>
                <w:kern w:val="2"/>
                <w:sz w:val="21"/>
                <w:szCs w:val="21"/>
                <w:highlight w:val="none"/>
                <w:lang w:eastAsia="zh-CN" w:bidi="ar"/>
              </w:rPr>
              <w:t>议价</w:t>
            </w:r>
            <w:r>
              <w:rPr>
                <w:rFonts w:hint="eastAsia" w:cs="宋体"/>
                <w:color w:val="auto"/>
                <w:kern w:val="2"/>
                <w:sz w:val="21"/>
                <w:szCs w:val="21"/>
                <w:highlight w:val="none"/>
                <w:lang w:bidi="ar"/>
              </w:rPr>
              <w:t>处理。</w:t>
            </w:r>
          </w:p>
        </w:tc>
      </w:tr>
      <w:tr w14:paraId="6C43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jc w:val="center"/>
        </w:trPr>
        <w:tc>
          <w:tcPr>
            <w:tcW w:w="1091" w:type="dxa"/>
            <w:vMerge w:val="restart"/>
            <w:tcBorders>
              <w:top w:val="nil"/>
              <w:left w:val="single" w:color="auto" w:sz="4" w:space="0"/>
              <w:right w:val="single" w:color="auto" w:sz="4" w:space="0"/>
            </w:tcBorders>
            <w:noWrap w:val="0"/>
            <w:vAlign w:val="center"/>
          </w:tcPr>
          <w:p w14:paraId="3B366824">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技术</w:t>
            </w:r>
          </w:p>
          <w:p w14:paraId="24B99B84">
            <w:pPr>
              <w:jc w:val="center"/>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bidi="ar"/>
              </w:rPr>
              <w:t>评</w:t>
            </w:r>
            <w:r>
              <w:rPr>
                <w:rFonts w:hint="eastAsia" w:ascii="宋体" w:hAnsi="宋体" w:cs="宋体"/>
                <w:color w:val="auto"/>
                <w:szCs w:val="21"/>
                <w:highlight w:val="none"/>
                <w:lang w:val="en-US" w:eastAsia="zh-CN" w:bidi="ar"/>
              </w:rPr>
              <w:t>分</w:t>
            </w:r>
          </w:p>
          <w:p w14:paraId="7749B682">
            <w:pPr>
              <w:jc w:val="center"/>
              <w:rPr>
                <w:rFonts w:hint="eastAsia" w:ascii="宋体" w:hAnsi="宋体" w:cs="宋体"/>
                <w:color w:val="auto"/>
                <w:szCs w:val="21"/>
                <w:highlight w:val="none"/>
              </w:rPr>
            </w:pPr>
            <w:r>
              <w:rPr>
                <w:rFonts w:hint="eastAsia" w:ascii="宋体" w:hAnsi="宋体" w:cs="宋体"/>
                <w:color w:val="auto"/>
                <w:szCs w:val="21"/>
                <w:highlight w:val="none"/>
                <w:lang w:bidi="ar"/>
              </w:rPr>
              <w:t>（40分）</w:t>
            </w:r>
          </w:p>
        </w:tc>
        <w:tc>
          <w:tcPr>
            <w:tcW w:w="1041" w:type="dxa"/>
            <w:vMerge w:val="restart"/>
            <w:tcBorders>
              <w:top w:val="single" w:color="auto" w:sz="4" w:space="0"/>
              <w:left w:val="single" w:color="auto" w:sz="4" w:space="0"/>
              <w:right w:val="single" w:color="auto" w:sz="4" w:space="0"/>
            </w:tcBorders>
            <w:noWrap w:val="0"/>
            <w:vAlign w:val="center"/>
          </w:tcPr>
          <w:p w14:paraId="5E1D9F17">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技术指标响应程度</w:t>
            </w:r>
          </w:p>
        </w:tc>
        <w:tc>
          <w:tcPr>
            <w:tcW w:w="597" w:type="dxa"/>
            <w:tcBorders>
              <w:top w:val="single" w:color="auto" w:sz="4" w:space="0"/>
              <w:left w:val="single" w:color="auto" w:sz="4" w:space="0"/>
              <w:right w:val="single" w:color="auto" w:sz="4" w:space="0"/>
            </w:tcBorders>
            <w:noWrap w:val="0"/>
            <w:vAlign w:val="center"/>
          </w:tcPr>
          <w:p w14:paraId="4C155D77">
            <w:pPr>
              <w:jc w:val="center"/>
              <w:rPr>
                <w:rFonts w:ascii="宋体" w:hAnsi="宋体" w:cs="宋体"/>
                <w:color w:val="auto"/>
                <w:szCs w:val="21"/>
                <w:highlight w:val="none"/>
                <w:lang w:bidi="ar"/>
              </w:rPr>
            </w:pPr>
            <w:r>
              <w:rPr>
                <w:rFonts w:hint="eastAsia" w:ascii="宋体" w:hAnsi="宋体" w:cs="宋体"/>
                <w:color w:val="auto"/>
                <w:szCs w:val="21"/>
                <w:highlight w:val="none"/>
                <w:lang w:bidi="ar"/>
              </w:rPr>
              <w:t>30</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44730A4E">
            <w:pPr>
              <w:pStyle w:val="6"/>
              <w:widowControl w:val="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所投产品技术参数及配置符合</w:t>
            </w:r>
            <w:r>
              <w:rPr>
                <w:rFonts w:hint="eastAsia" w:ascii="宋体" w:hAnsi="宋体" w:eastAsia="宋体" w:cs="宋体"/>
                <w:color w:val="auto"/>
                <w:kern w:val="2"/>
                <w:sz w:val="21"/>
                <w:szCs w:val="21"/>
                <w:highlight w:val="none"/>
                <w:lang w:eastAsia="zh-CN" w:bidi="ar"/>
              </w:rPr>
              <w:t>议价</w:t>
            </w:r>
            <w:r>
              <w:rPr>
                <w:rFonts w:hint="eastAsia" w:ascii="宋体" w:hAnsi="宋体" w:eastAsia="宋体" w:cs="宋体"/>
                <w:color w:val="auto"/>
                <w:kern w:val="2"/>
                <w:sz w:val="21"/>
                <w:szCs w:val="21"/>
                <w:highlight w:val="none"/>
                <w:lang w:bidi="ar"/>
              </w:rPr>
              <w:t>文件要求无负偏离的得满分；</w:t>
            </w:r>
          </w:p>
          <w:p w14:paraId="23E91DBF">
            <w:pPr>
              <w:pStyle w:val="6"/>
              <w:widowControl w:val="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重要技术参数（“▲”参数）有负偏离的，每一项扣</w:t>
            </w: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bidi="ar"/>
              </w:rPr>
              <w:t>分；一般技术参数（非“▲”参数）有负偏离的，每一项扣</w:t>
            </w: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bidi="ar"/>
              </w:rPr>
              <w:t>分，扣完为止。</w:t>
            </w:r>
            <w:r>
              <w:rPr>
                <w:rFonts w:ascii="宋体" w:hAnsi="宋体" w:eastAsia="宋体" w:cs="宋体"/>
                <w:color w:val="auto"/>
                <w:kern w:val="2"/>
                <w:sz w:val="21"/>
                <w:szCs w:val="21"/>
                <w:highlight w:val="none"/>
                <w:lang w:bidi="ar"/>
              </w:rPr>
              <w:t>大于10项参数不符合的</w:t>
            </w:r>
            <w:r>
              <w:rPr>
                <w:rFonts w:hint="eastAsia" w:ascii="宋体" w:hAnsi="宋体" w:eastAsia="宋体" w:cs="宋体"/>
                <w:color w:val="auto"/>
                <w:kern w:val="2"/>
                <w:sz w:val="21"/>
                <w:szCs w:val="21"/>
                <w:highlight w:val="none"/>
                <w:lang w:eastAsia="zh-CN" w:bidi="ar"/>
              </w:rPr>
              <w:t>议价</w:t>
            </w:r>
            <w:r>
              <w:rPr>
                <w:rFonts w:ascii="宋体" w:hAnsi="宋体" w:eastAsia="宋体" w:cs="宋体"/>
                <w:color w:val="auto"/>
                <w:kern w:val="2"/>
                <w:sz w:val="21"/>
                <w:szCs w:val="21"/>
                <w:highlight w:val="none"/>
                <w:lang w:bidi="ar"/>
              </w:rPr>
              <w:t>将被否决。</w:t>
            </w:r>
          </w:p>
          <w:p w14:paraId="0FD1ADC9">
            <w:pPr>
              <w:pStyle w:val="6"/>
              <w:widowControl w:val="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注：①负偏离包括但不限于：配置不详，技术参数不清楚或缺漏项。</w:t>
            </w:r>
          </w:p>
          <w:p w14:paraId="4290C8E0">
            <w:pPr>
              <w:pStyle w:val="6"/>
              <w:widowControl w:val="0"/>
              <w:ind w:firstLine="42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②</w:t>
            </w:r>
            <w:r>
              <w:rPr>
                <w:rFonts w:hint="eastAsia" w:ascii="宋体" w:hAnsi="宋体" w:eastAsia="宋体" w:cs="宋体"/>
                <w:color w:val="auto"/>
                <w:kern w:val="2"/>
                <w:sz w:val="21"/>
                <w:szCs w:val="21"/>
                <w:highlight w:val="none"/>
                <w:lang w:eastAsia="zh-CN" w:bidi="ar"/>
              </w:rPr>
              <w:t>议价</w:t>
            </w:r>
            <w:r>
              <w:rPr>
                <w:rFonts w:hint="eastAsia" w:ascii="宋体" w:hAnsi="宋体" w:eastAsia="宋体" w:cs="宋体"/>
                <w:color w:val="auto"/>
                <w:kern w:val="2"/>
                <w:sz w:val="21"/>
                <w:szCs w:val="21"/>
                <w:highlight w:val="none"/>
                <w:lang w:bidi="ar"/>
              </w:rPr>
              <w:t>文件对于重要条款（▲条款）或采购需求文件有要求的条款需提供技术证明文件（提供扫描件加盖</w:t>
            </w:r>
            <w:r>
              <w:rPr>
                <w:rFonts w:hint="eastAsia" w:ascii="宋体" w:hAnsi="宋体" w:eastAsia="宋体" w:cs="宋体"/>
                <w:color w:val="auto"/>
                <w:kern w:val="2"/>
                <w:sz w:val="21"/>
                <w:szCs w:val="21"/>
                <w:highlight w:val="none"/>
                <w:lang w:eastAsia="zh-CN" w:bidi="ar"/>
              </w:rPr>
              <w:t>议价</w:t>
            </w:r>
            <w:r>
              <w:rPr>
                <w:rFonts w:hint="eastAsia" w:ascii="宋体" w:hAnsi="宋体" w:eastAsia="宋体" w:cs="宋体"/>
                <w:color w:val="auto"/>
                <w:kern w:val="2"/>
                <w:sz w:val="21"/>
                <w:szCs w:val="21"/>
                <w:highlight w:val="none"/>
                <w:lang w:bidi="ar"/>
              </w:rPr>
              <w:t>人公章）。技术证明文件指：产品彩页或技术白皮书或注册检验报告等产品生产企业公开发布的印刷品（如有不一致的以注册检验报告为准）。未按要求提供的或与证明文件或指定的证明材料不符的视同负偏离。</w:t>
            </w:r>
          </w:p>
          <w:p w14:paraId="5888BAFD">
            <w:pPr>
              <w:pStyle w:val="6"/>
              <w:widowControl w:val="0"/>
              <w:ind w:firstLine="42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③要求提供证明文件，</w:t>
            </w:r>
            <w:r>
              <w:rPr>
                <w:rFonts w:hint="eastAsia" w:ascii="宋体" w:hAnsi="宋体" w:eastAsia="宋体" w:cs="宋体"/>
                <w:color w:val="auto"/>
                <w:kern w:val="2"/>
                <w:sz w:val="21"/>
                <w:szCs w:val="21"/>
                <w:highlight w:val="none"/>
                <w:lang w:eastAsia="zh-CN" w:bidi="ar"/>
              </w:rPr>
              <w:t>议价</w:t>
            </w:r>
            <w:r>
              <w:rPr>
                <w:rFonts w:hint="eastAsia" w:ascii="宋体" w:hAnsi="宋体" w:eastAsia="宋体" w:cs="宋体"/>
                <w:color w:val="auto"/>
                <w:kern w:val="2"/>
                <w:sz w:val="21"/>
                <w:szCs w:val="21"/>
                <w:highlight w:val="none"/>
                <w:lang w:bidi="ar"/>
              </w:rPr>
              <w:t>文件中未附</w:t>
            </w:r>
            <w:r>
              <w:rPr>
                <w:rFonts w:hint="eastAsia" w:ascii="宋体" w:hAnsi="宋体" w:eastAsia="宋体" w:cs="宋体"/>
                <w:color w:val="auto"/>
                <w:kern w:val="2"/>
                <w:sz w:val="21"/>
                <w:szCs w:val="21"/>
                <w:highlight w:val="none"/>
                <w:lang w:eastAsia="zh-CN" w:bidi="ar"/>
              </w:rPr>
              <w:t>议价</w:t>
            </w:r>
            <w:r>
              <w:rPr>
                <w:rFonts w:hint="eastAsia" w:ascii="宋体" w:hAnsi="宋体" w:eastAsia="宋体" w:cs="宋体"/>
                <w:color w:val="auto"/>
                <w:kern w:val="2"/>
                <w:sz w:val="21"/>
                <w:szCs w:val="21"/>
                <w:highlight w:val="none"/>
                <w:lang w:bidi="ar"/>
              </w:rPr>
              <w:t>货物的印刷资料或</w:t>
            </w:r>
            <w:r>
              <w:rPr>
                <w:rFonts w:hint="eastAsia" w:ascii="宋体" w:hAnsi="宋体" w:eastAsia="宋体" w:cs="宋体"/>
                <w:color w:val="auto"/>
                <w:kern w:val="2"/>
                <w:sz w:val="21"/>
                <w:szCs w:val="21"/>
                <w:highlight w:val="none"/>
                <w:lang w:eastAsia="zh-CN" w:bidi="ar"/>
              </w:rPr>
              <w:t>议价</w:t>
            </w:r>
            <w:r>
              <w:rPr>
                <w:rFonts w:hint="eastAsia" w:ascii="宋体" w:hAnsi="宋体" w:eastAsia="宋体" w:cs="宋体"/>
                <w:color w:val="auto"/>
                <w:kern w:val="2"/>
                <w:sz w:val="21"/>
                <w:szCs w:val="21"/>
                <w:highlight w:val="none"/>
                <w:lang w:bidi="ar"/>
              </w:rPr>
              <w:t>货物原版技术白皮书或检测机构出具的检测报告的，该项计0分；如印刷资料或技术白皮书与检测报告不一致的，以检测机构出具的检测报告为准。</w:t>
            </w:r>
          </w:p>
          <w:p w14:paraId="4E18AE5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④“▲”参数未提供对应证明文件的，视同为负偏离。</w:t>
            </w:r>
          </w:p>
        </w:tc>
      </w:tr>
      <w:tr w14:paraId="4AB0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091" w:type="dxa"/>
            <w:vMerge w:val="continue"/>
            <w:tcBorders>
              <w:left w:val="single" w:color="auto" w:sz="4" w:space="0"/>
              <w:right w:val="single" w:color="auto" w:sz="4" w:space="0"/>
            </w:tcBorders>
            <w:noWrap w:val="0"/>
            <w:vAlign w:val="center"/>
          </w:tcPr>
          <w:p w14:paraId="26078C44">
            <w:pPr>
              <w:jc w:val="center"/>
              <w:rPr>
                <w:rFonts w:hint="eastAsia" w:ascii="宋体" w:hAnsi="宋体" w:cs="宋体"/>
                <w:color w:val="auto"/>
                <w:szCs w:val="21"/>
                <w:highlight w:val="none"/>
                <w:lang w:bidi="ar"/>
              </w:rPr>
            </w:pPr>
          </w:p>
        </w:tc>
        <w:tc>
          <w:tcPr>
            <w:tcW w:w="1041" w:type="dxa"/>
            <w:vMerge w:val="continue"/>
            <w:tcBorders>
              <w:left w:val="single" w:color="auto" w:sz="4" w:space="0"/>
              <w:right w:val="single" w:color="auto" w:sz="4" w:space="0"/>
            </w:tcBorders>
            <w:noWrap w:val="0"/>
            <w:vAlign w:val="center"/>
          </w:tcPr>
          <w:p w14:paraId="0659D385">
            <w:pPr>
              <w:jc w:val="center"/>
              <w:rPr>
                <w:rFonts w:hint="eastAsia" w:ascii="宋体" w:hAnsi="宋体" w:cs="宋体"/>
                <w:color w:val="auto"/>
                <w:szCs w:val="21"/>
                <w:highlight w:val="none"/>
                <w:lang w:bidi="ar"/>
              </w:rPr>
            </w:pPr>
          </w:p>
        </w:tc>
        <w:tc>
          <w:tcPr>
            <w:tcW w:w="597" w:type="dxa"/>
            <w:tcBorders>
              <w:top w:val="single" w:color="auto" w:sz="4" w:space="0"/>
              <w:left w:val="single" w:color="auto" w:sz="4" w:space="0"/>
              <w:right w:val="single" w:color="auto" w:sz="4" w:space="0"/>
            </w:tcBorders>
            <w:noWrap w:val="0"/>
            <w:vAlign w:val="center"/>
          </w:tcPr>
          <w:p w14:paraId="26B1B993">
            <w:pPr>
              <w:jc w:val="center"/>
              <w:rPr>
                <w:rFonts w:ascii="宋体" w:hAnsi="宋体" w:cs="宋体"/>
                <w:color w:val="auto"/>
                <w:szCs w:val="21"/>
                <w:highlight w:val="none"/>
                <w:lang w:bidi="ar"/>
              </w:rPr>
            </w:pPr>
            <w:r>
              <w:rPr>
                <w:rFonts w:hint="eastAsia" w:ascii="宋体" w:hAnsi="宋体" w:cs="宋体"/>
                <w:color w:val="auto"/>
                <w:szCs w:val="21"/>
                <w:highlight w:val="none"/>
                <w:lang w:bidi="ar"/>
              </w:rPr>
              <w:t>10</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4A8CE3E1">
            <w:pPr>
              <w:jc w:val="left"/>
              <w:rPr>
                <w:rFonts w:hint="eastAsia" w:cs="宋体"/>
                <w:color w:val="auto"/>
                <w:szCs w:val="21"/>
                <w:highlight w:val="none"/>
                <w:lang w:bidi="ar"/>
              </w:rPr>
            </w:pPr>
            <w:r>
              <w:rPr>
                <w:rFonts w:hint="eastAsia" w:ascii="宋体" w:hAnsi="宋体" w:cs="宋体"/>
                <w:color w:val="auto"/>
                <w:szCs w:val="21"/>
                <w:highlight w:val="none"/>
                <w:lang w:eastAsia="zh-CN" w:bidi="ar"/>
              </w:rPr>
              <w:t>议价</w:t>
            </w:r>
            <w:r>
              <w:rPr>
                <w:rFonts w:ascii="宋体" w:hAnsi="宋体" w:cs="宋体"/>
                <w:color w:val="auto"/>
                <w:szCs w:val="21"/>
                <w:highlight w:val="none"/>
                <w:lang w:bidi="ar"/>
              </w:rPr>
              <w:t>人提供</w:t>
            </w:r>
            <w:r>
              <w:rPr>
                <w:rFonts w:hint="eastAsia" w:ascii="宋体" w:hAnsi="宋体" w:cs="宋体"/>
                <w:color w:val="auto"/>
                <w:szCs w:val="21"/>
                <w:highlight w:val="none"/>
                <w:lang w:eastAsia="zh-CN" w:bidi="ar"/>
              </w:rPr>
              <w:t>议价</w:t>
            </w:r>
            <w:r>
              <w:rPr>
                <w:rFonts w:ascii="宋体" w:hAnsi="宋体" w:cs="宋体"/>
                <w:color w:val="auto"/>
                <w:szCs w:val="21"/>
                <w:highlight w:val="none"/>
                <w:lang w:bidi="ar"/>
              </w:rPr>
              <w:t>产品配置的合理性、技术成熟度、设备运行稳定性、安全可靠性、产品选型配置完善性进行介绍，评审委员会综合评估设备的性能及先进性、质量可靠性、其功能与配置的合理性，</w:t>
            </w:r>
            <w:r>
              <w:rPr>
                <w:rFonts w:hint="eastAsia" w:ascii="宋体" w:hAnsi="宋体" w:cs="宋体"/>
                <w:color w:val="auto"/>
                <w:szCs w:val="21"/>
                <w:highlight w:val="none"/>
                <w:lang w:bidi="ar"/>
              </w:rPr>
              <w:t>满分</w:t>
            </w:r>
            <w:r>
              <w:rPr>
                <w:rFonts w:ascii="宋体" w:hAnsi="宋体" w:cs="宋体"/>
                <w:color w:val="auto"/>
                <w:szCs w:val="21"/>
                <w:highlight w:val="none"/>
                <w:lang w:bidi="ar"/>
              </w:rPr>
              <w:t>10分</w:t>
            </w:r>
            <w:r>
              <w:rPr>
                <w:rFonts w:hint="eastAsia" w:ascii="宋体" w:hAnsi="宋体" w:cs="宋体"/>
                <w:color w:val="auto"/>
                <w:szCs w:val="21"/>
                <w:highlight w:val="none"/>
                <w:lang w:bidi="ar"/>
              </w:rPr>
              <w:t>，缺项每项扣2分，不合理或不完善每项扣1分，扣完为止。未提供的不计分。</w:t>
            </w:r>
          </w:p>
        </w:tc>
      </w:tr>
      <w:tr w14:paraId="3F4C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1091" w:type="dxa"/>
            <w:vMerge w:val="restart"/>
            <w:tcBorders>
              <w:top w:val="nil"/>
              <w:left w:val="single" w:color="auto" w:sz="4" w:space="0"/>
              <w:right w:val="single" w:color="auto" w:sz="4" w:space="0"/>
            </w:tcBorders>
            <w:noWrap w:val="0"/>
            <w:vAlign w:val="center"/>
          </w:tcPr>
          <w:p w14:paraId="1CB0952A">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商务</w:t>
            </w:r>
          </w:p>
          <w:p w14:paraId="2F7F444C">
            <w:pPr>
              <w:jc w:val="center"/>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bidi="ar"/>
              </w:rPr>
              <w:t>评</w:t>
            </w:r>
            <w:r>
              <w:rPr>
                <w:rFonts w:hint="eastAsia" w:ascii="宋体" w:hAnsi="宋体" w:cs="宋体"/>
                <w:color w:val="auto"/>
                <w:szCs w:val="21"/>
                <w:highlight w:val="none"/>
                <w:lang w:val="en-US" w:eastAsia="zh-CN" w:bidi="ar"/>
              </w:rPr>
              <w:t>分</w:t>
            </w:r>
          </w:p>
          <w:p w14:paraId="03F3BC2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（30分）</w:t>
            </w:r>
          </w:p>
        </w:tc>
        <w:tc>
          <w:tcPr>
            <w:tcW w:w="1041" w:type="dxa"/>
            <w:tcBorders>
              <w:top w:val="single" w:color="auto" w:sz="4" w:space="0"/>
              <w:left w:val="single" w:color="auto" w:sz="4" w:space="0"/>
              <w:right w:val="single" w:color="auto" w:sz="4" w:space="0"/>
            </w:tcBorders>
            <w:noWrap w:val="0"/>
            <w:vAlign w:val="center"/>
          </w:tcPr>
          <w:p w14:paraId="47EBC4A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业绩</w:t>
            </w:r>
          </w:p>
        </w:tc>
        <w:tc>
          <w:tcPr>
            <w:tcW w:w="597" w:type="dxa"/>
            <w:tcBorders>
              <w:top w:val="single" w:color="auto" w:sz="4" w:space="0"/>
              <w:left w:val="single" w:color="auto" w:sz="4" w:space="0"/>
              <w:right w:val="single" w:color="auto" w:sz="4" w:space="0"/>
            </w:tcBorders>
            <w:noWrap w:val="0"/>
            <w:vAlign w:val="center"/>
          </w:tcPr>
          <w:p w14:paraId="6521FA5D">
            <w:pPr>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76DE6869">
            <w:pPr>
              <w:jc w:val="left"/>
              <w:rPr>
                <w:rFonts w:ascii="宋体" w:hAnsi="宋体" w:cs="宋体"/>
                <w:color w:val="auto"/>
                <w:szCs w:val="21"/>
                <w:highlight w:val="none"/>
                <w:lang w:bidi="ar"/>
              </w:rPr>
            </w:pPr>
            <w:r>
              <w:rPr>
                <w:rFonts w:ascii="宋体" w:hAnsi="宋体" w:cs="宋体"/>
                <w:color w:val="auto"/>
                <w:szCs w:val="21"/>
                <w:highlight w:val="none"/>
                <w:lang w:bidi="ar"/>
              </w:rPr>
              <w:t>提供202</w:t>
            </w:r>
            <w:r>
              <w:rPr>
                <w:rFonts w:hint="eastAsia" w:ascii="宋体" w:hAnsi="宋体" w:cs="宋体"/>
                <w:color w:val="auto"/>
                <w:szCs w:val="21"/>
                <w:highlight w:val="none"/>
                <w:lang w:val="en-US" w:eastAsia="zh-CN" w:bidi="ar"/>
              </w:rPr>
              <w:t>2</w:t>
            </w:r>
            <w:r>
              <w:rPr>
                <w:rFonts w:ascii="宋体" w:hAnsi="宋体" w:cs="宋体"/>
                <w:color w:val="auto"/>
                <w:szCs w:val="21"/>
                <w:highlight w:val="none"/>
                <w:lang w:bidi="ar"/>
              </w:rPr>
              <w:t>年</w:t>
            </w:r>
            <w:r>
              <w:rPr>
                <w:rFonts w:hint="eastAsia" w:ascii="宋体" w:hAnsi="宋体" w:cs="宋体"/>
                <w:color w:val="auto"/>
                <w:szCs w:val="21"/>
                <w:highlight w:val="none"/>
                <w:lang w:val="en-US" w:eastAsia="zh-CN" w:bidi="ar"/>
              </w:rPr>
              <w:t>10</w:t>
            </w:r>
            <w:r>
              <w:rPr>
                <w:rFonts w:ascii="宋体" w:hAnsi="宋体" w:cs="宋体"/>
                <w:color w:val="auto"/>
                <w:szCs w:val="21"/>
                <w:highlight w:val="none"/>
                <w:lang w:bidi="ar"/>
              </w:rPr>
              <w:t>月1日以后所投</w:t>
            </w:r>
            <w:r>
              <w:rPr>
                <w:rFonts w:hint="eastAsia" w:ascii="宋体" w:hAnsi="宋体" w:cs="宋体"/>
                <w:color w:val="auto"/>
                <w:szCs w:val="21"/>
                <w:highlight w:val="none"/>
                <w:lang w:bidi="ar"/>
              </w:rPr>
              <w:t>同品牌</w:t>
            </w:r>
            <w:r>
              <w:rPr>
                <w:rFonts w:ascii="宋体" w:hAnsi="宋体" w:cs="宋体"/>
                <w:color w:val="auto"/>
                <w:szCs w:val="21"/>
                <w:highlight w:val="none"/>
                <w:lang w:bidi="ar"/>
              </w:rPr>
              <w:t>同型号设备终端用户供货合同，提供用户清单与联系方式，以提供清晰的合同复印件为准，每份符合要求的业绩得2分。同一家</w:t>
            </w:r>
            <w:r>
              <w:rPr>
                <w:rFonts w:hint="eastAsia" w:ascii="宋体" w:hAnsi="宋体" w:cs="宋体"/>
                <w:color w:val="auto"/>
                <w:szCs w:val="21"/>
                <w:highlight w:val="none"/>
                <w:lang w:bidi="ar"/>
              </w:rPr>
              <w:t>终端用户</w:t>
            </w:r>
            <w:r>
              <w:rPr>
                <w:rFonts w:ascii="宋体" w:hAnsi="宋体" w:cs="宋体"/>
                <w:color w:val="auto"/>
                <w:szCs w:val="21"/>
                <w:highlight w:val="none"/>
                <w:lang w:bidi="ar"/>
              </w:rPr>
              <w:t>的材料不重复计分。</w:t>
            </w:r>
          </w:p>
          <w:p w14:paraId="2976E2B4">
            <w:pPr>
              <w:pStyle w:val="3"/>
              <w:spacing w:before="0" w:beforeAutospacing="0" w:after="0" w:afterAutospacing="0"/>
              <w:rPr>
                <w:rFonts w:hint="eastAsia" w:eastAsia="Times New Roman" w:cs="宋体"/>
                <w:color w:val="auto"/>
                <w:highlight w:val="none"/>
              </w:rPr>
            </w:pPr>
            <w:r>
              <w:rPr>
                <w:rFonts w:cs="宋体"/>
                <w:color w:val="auto"/>
                <w:kern w:val="2"/>
                <w:sz w:val="21"/>
                <w:szCs w:val="21"/>
                <w:highlight w:val="none"/>
                <w:lang w:bidi="ar"/>
              </w:rPr>
              <w:t>注：</w:t>
            </w:r>
            <w:r>
              <w:rPr>
                <w:rFonts w:hint="eastAsia" w:cs="宋体"/>
                <w:color w:val="auto"/>
                <w:kern w:val="2"/>
                <w:sz w:val="21"/>
                <w:szCs w:val="21"/>
                <w:highlight w:val="none"/>
                <w:lang w:eastAsia="zh-CN" w:bidi="ar"/>
              </w:rPr>
              <w:t>议价</w:t>
            </w:r>
            <w:r>
              <w:rPr>
                <w:rFonts w:cs="宋体"/>
                <w:color w:val="auto"/>
                <w:kern w:val="2"/>
                <w:sz w:val="21"/>
                <w:szCs w:val="21"/>
                <w:highlight w:val="none"/>
                <w:lang w:bidi="ar"/>
              </w:rPr>
              <w:t>文件中需提供相关证明材料复印件（盖双方公章的合同复印件）并加盖</w:t>
            </w:r>
            <w:r>
              <w:rPr>
                <w:rFonts w:hint="eastAsia" w:cs="宋体"/>
                <w:color w:val="auto"/>
                <w:kern w:val="2"/>
                <w:sz w:val="21"/>
                <w:szCs w:val="21"/>
                <w:highlight w:val="none"/>
                <w:lang w:eastAsia="zh-CN" w:bidi="ar"/>
              </w:rPr>
              <w:t>议价</w:t>
            </w:r>
            <w:r>
              <w:rPr>
                <w:rFonts w:cs="宋体"/>
                <w:color w:val="auto"/>
                <w:kern w:val="2"/>
                <w:sz w:val="21"/>
                <w:szCs w:val="21"/>
                <w:highlight w:val="none"/>
                <w:lang w:bidi="ar"/>
              </w:rPr>
              <w:t>单位公章，否则不计分。</w:t>
            </w:r>
          </w:p>
        </w:tc>
      </w:tr>
      <w:tr w14:paraId="00C5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1091" w:type="dxa"/>
            <w:vMerge w:val="continue"/>
            <w:tcBorders>
              <w:left w:val="single" w:color="auto" w:sz="4" w:space="0"/>
              <w:right w:val="single" w:color="auto" w:sz="4" w:space="0"/>
            </w:tcBorders>
            <w:noWrap w:val="0"/>
            <w:vAlign w:val="center"/>
          </w:tcPr>
          <w:p w14:paraId="4C4D689D">
            <w:pPr>
              <w:rPr>
                <w:color w:val="auto"/>
                <w:sz w:val="20"/>
                <w:szCs w:val="20"/>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65AB17C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售后服务方案</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5DEB9D9">
            <w:pPr>
              <w:jc w:val="center"/>
              <w:rPr>
                <w:rFonts w:hint="eastAsia" w:ascii="宋体" w:hAnsi="宋体" w:cs="宋体"/>
                <w:color w:val="auto"/>
                <w:szCs w:val="21"/>
                <w:highlight w:val="none"/>
              </w:rPr>
            </w:pPr>
            <w:r>
              <w:rPr>
                <w:rFonts w:hint="eastAsia" w:ascii="宋体" w:hAnsi="宋体" w:cs="宋体"/>
                <w:color w:val="auto"/>
                <w:szCs w:val="21"/>
                <w:highlight w:val="none"/>
                <w:lang w:bidi="ar"/>
              </w:rPr>
              <w:t>8</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117C3DFF">
            <w:pPr>
              <w:pStyle w:val="3"/>
              <w:spacing w:before="0" w:beforeAutospacing="0" w:after="0" w:afterAutospacing="0"/>
              <w:rPr>
                <w:rFonts w:hint="eastAsia" w:cs="宋体"/>
                <w:color w:val="auto"/>
                <w:sz w:val="21"/>
                <w:szCs w:val="21"/>
                <w:highlight w:val="none"/>
              </w:rPr>
            </w:pPr>
            <w:r>
              <w:rPr>
                <w:rFonts w:hint="eastAsia" w:cs="宋体"/>
                <w:color w:val="auto"/>
                <w:kern w:val="2"/>
                <w:sz w:val="21"/>
                <w:szCs w:val="21"/>
                <w:highlight w:val="none"/>
                <w:lang w:eastAsia="zh-CN" w:bidi="ar"/>
              </w:rPr>
              <w:t>议价</w:t>
            </w:r>
            <w:r>
              <w:rPr>
                <w:rFonts w:hint="eastAsia" w:cs="宋体"/>
                <w:color w:val="auto"/>
                <w:kern w:val="2"/>
                <w:sz w:val="21"/>
                <w:szCs w:val="21"/>
                <w:highlight w:val="none"/>
                <w:lang w:bidi="ar"/>
              </w:rPr>
              <w:t>人提供一套针对本项目有明确描述的售后服务方案，包括但不限于：①售后服务体系及保修承诺措施；②设备调试与安装；③服务响应时间及方式；④质保期内的维保机制；⑤承诺保修期后的维修方案；⑥提供售后服务点，具备备品备件仓库，配有专职维修工程师，并提供工牌复印件以及联系方式⑦提供设备的DATA SHEET (或产品检验报告)复印件、彩页资料、⑧提供常用消耗品和零配件优惠价格。方案全面、详细、合理、切实可行、贴合本项目实际情况的计</w:t>
            </w:r>
            <w:r>
              <w:rPr>
                <w:rFonts w:hint="eastAsia" w:cs="宋体"/>
                <w:color w:val="auto"/>
                <w:kern w:val="2"/>
                <w:sz w:val="21"/>
                <w:szCs w:val="21"/>
                <w:highlight w:val="none"/>
                <w:lang w:val="en-US" w:eastAsia="zh-CN" w:bidi="ar"/>
              </w:rPr>
              <w:t>8</w:t>
            </w:r>
            <w:r>
              <w:rPr>
                <w:rFonts w:hint="eastAsia" w:cs="宋体"/>
                <w:color w:val="auto"/>
                <w:kern w:val="2"/>
                <w:sz w:val="21"/>
                <w:szCs w:val="21"/>
                <w:highlight w:val="none"/>
                <w:lang w:bidi="ar"/>
              </w:rPr>
              <w:t>分；方案内容欠合理、欠完善或描述不详的每项扣0.5分，扣完为止；缺漏项的每项扣1分；未提供不计分。</w:t>
            </w:r>
          </w:p>
        </w:tc>
      </w:tr>
      <w:tr w14:paraId="526F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091" w:type="dxa"/>
            <w:vMerge w:val="continue"/>
            <w:tcBorders>
              <w:left w:val="single" w:color="auto" w:sz="4" w:space="0"/>
              <w:right w:val="single" w:color="auto" w:sz="4" w:space="0"/>
            </w:tcBorders>
            <w:noWrap w:val="0"/>
            <w:vAlign w:val="center"/>
          </w:tcPr>
          <w:p w14:paraId="1D6495B2">
            <w:pPr>
              <w:rPr>
                <w:color w:val="auto"/>
                <w:sz w:val="20"/>
                <w:szCs w:val="20"/>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38CFF8C">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培训方案</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636C51DC">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4</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4D8A059D">
            <w:pPr>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针对本项目具有可行的技术培训方案，培训内容包括所提供设备的原理和技术性能、操作维护方法、安装调试、排除故障等各个方面，培训的具体日期及人数由使用单位确定。培训后的人员应能熟练操作设备，了解设备结构、工作原理，并能排除一般故障</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方案全面、详细、合理、切实可行、贴合本项目实际情况的计</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分；方案内容欠合理、欠完善或描述不详的每项扣0.5分，扣完为止；缺漏项的每项扣1分；未提供不计分。</w:t>
            </w:r>
          </w:p>
        </w:tc>
      </w:tr>
      <w:tr w14:paraId="2F94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91" w:type="dxa"/>
            <w:vMerge w:val="continue"/>
            <w:tcBorders>
              <w:left w:val="single" w:color="auto" w:sz="4" w:space="0"/>
              <w:right w:val="single" w:color="auto" w:sz="4" w:space="0"/>
            </w:tcBorders>
            <w:noWrap w:val="0"/>
            <w:vAlign w:val="center"/>
          </w:tcPr>
          <w:p w14:paraId="53EBA705">
            <w:pPr>
              <w:rPr>
                <w:color w:val="auto"/>
                <w:sz w:val="20"/>
                <w:szCs w:val="20"/>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33577BB5">
            <w:pPr>
              <w:jc w:val="center"/>
              <w:rPr>
                <w:rFonts w:hint="eastAsia" w:ascii="宋体" w:hAnsi="宋体" w:cs="宋体"/>
                <w:color w:val="auto"/>
                <w:szCs w:val="21"/>
                <w:highlight w:val="none"/>
              </w:rPr>
            </w:pPr>
            <w:r>
              <w:rPr>
                <w:rFonts w:hint="eastAsia" w:cs="宋体"/>
                <w:color w:val="auto"/>
                <w:szCs w:val="21"/>
                <w:highlight w:val="none"/>
                <w:lang w:bidi="ar"/>
              </w:rPr>
              <w:t>维保服务年限</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6F877F70">
            <w:pPr>
              <w:jc w:val="center"/>
              <w:rPr>
                <w:rFonts w:ascii="宋体" w:hAnsi="宋体" w:cs="宋体"/>
                <w:color w:val="auto"/>
                <w:szCs w:val="21"/>
                <w:highlight w:val="none"/>
              </w:rPr>
            </w:pPr>
            <w:r>
              <w:rPr>
                <w:rFonts w:hint="eastAsia" w:ascii="宋体" w:hAnsi="宋体" w:cs="宋体"/>
                <w:color w:val="auto"/>
                <w:szCs w:val="21"/>
                <w:highlight w:val="none"/>
                <w:lang w:bidi="ar"/>
              </w:rPr>
              <w:t>8</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7F65EFB9">
            <w:pPr>
              <w:pStyle w:val="3"/>
              <w:spacing w:before="0" w:beforeAutospacing="0" w:after="0" w:afterAutospacing="0"/>
              <w:rPr>
                <w:rFonts w:hint="eastAsia" w:eastAsia="Times New Roman" w:cs="宋体"/>
                <w:color w:val="auto"/>
                <w:highlight w:val="none"/>
              </w:rPr>
            </w:pPr>
            <w:r>
              <w:rPr>
                <w:rFonts w:hint="eastAsia" w:cs="宋体"/>
                <w:color w:val="auto"/>
                <w:kern w:val="2"/>
                <w:sz w:val="21"/>
                <w:szCs w:val="21"/>
                <w:highlight w:val="none"/>
                <w:lang w:bidi="ar"/>
              </w:rPr>
              <w:t>供应商承诺维保服务年限满足</w:t>
            </w:r>
            <w:r>
              <w:rPr>
                <w:rFonts w:hint="eastAsia" w:cs="宋体"/>
                <w:color w:val="auto"/>
                <w:kern w:val="2"/>
                <w:sz w:val="21"/>
                <w:szCs w:val="21"/>
                <w:highlight w:val="none"/>
                <w:lang w:eastAsia="zh-CN" w:bidi="ar"/>
              </w:rPr>
              <w:t>议价</w:t>
            </w:r>
            <w:r>
              <w:rPr>
                <w:rFonts w:hint="eastAsia" w:cs="宋体"/>
                <w:color w:val="auto"/>
                <w:kern w:val="2"/>
                <w:sz w:val="21"/>
                <w:szCs w:val="21"/>
                <w:highlight w:val="none"/>
                <w:lang w:bidi="ar"/>
              </w:rPr>
              <w:t>文件要求的基础上，每增加一年加4分，满分8分。（提供承诺书并加盖供应商公章）</w:t>
            </w:r>
          </w:p>
        </w:tc>
      </w:tr>
      <w:tr w14:paraId="011C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91" w:type="dxa"/>
            <w:vMerge w:val="continue"/>
            <w:tcBorders>
              <w:left w:val="single" w:color="auto" w:sz="4" w:space="0"/>
              <w:bottom w:val="single" w:color="auto" w:sz="4" w:space="0"/>
              <w:right w:val="single" w:color="auto" w:sz="4" w:space="0"/>
            </w:tcBorders>
            <w:noWrap w:val="0"/>
            <w:vAlign w:val="center"/>
          </w:tcPr>
          <w:p w14:paraId="7336DE97">
            <w:pPr>
              <w:rPr>
                <w:color w:val="auto"/>
                <w:sz w:val="20"/>
                <w:szCs w:val="20"/>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6E552B2">
            <w:pPr>
              <w:jc w:val="center"/>
              <w:rPr>
                <w:rFonts w:ascii="宋体" w:hAnsi="宋体" w:cs="宋体"/>
                <w:color w:val="auto"/>
                <w:szCs w:val="21"/>
                <w:highlight w:val="none"/>
                <w:lang w:bidi="ar"/>
              </w:rPr>
            </w:pPr>
            <w:r>
              <w:rPr>
                <w:rFonts w:hint="eastAsia" w:ascii="宋体" w:hAnsi="宋体" w:cs="宋体"/>
                <w:color w:val="auto"/>
                <w:szCs w:val="21"/>
                <w:highlight w:val="none"/>
                <w:lang w:bidi="ar"/>
              </w:rPr>
              <w:t>合计</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122EEE0">
            <w:pPr>
              <w:jc w:val="center"/>
              <w:rPr>
                <w:rFonts w:ascii="宋体" w:hAnsi="宋体" w:cs="宋体"/>
                <w:color w:val="auto"/>
                <w:szCs w:val="21"/>
                <w:highlight w:val="none"/>
                <w:lang w:bidi="ar"/>
              </w:rPr>
            </w:pPr>
            <w:r>
              <w:rPr>
                <w:rFonts w:hint="eastAsia" w:ascii="宋体" w:hAnsi="宋体" w:cs="宋体"/>
                <w:color w:val="auto"/>
                <w:szCs w:val="21"/>
                <w:highlight w:val="none"/>
                <w:lang w:bidi="ar"/>
              </w:rPr>
              <w:t>100</w:t>
            </w:r>
          </w:p>
        </w:tc>
        <w:tc>
          <w:tcPr>
            <w:tcW w:w="7709" w:type="dxa"/>
            <w:tcBorders>
              <w:top w:val="single" w:color="auto" w:sz="4" w:space="0"/>
              <w:left w:val="single" w:color="auto" w:sz="4" w:space="0"/>
              <w:bottom w:val="single" w:color="auto" w:sz="4" w:space="0"/>
              <w:right w:val="single" w:color="auto" w:sz="4" w:space="0"/>
            </w:tcBorders>
            <w:noWrap w:val="0"/>
            <w:vAlign w:val="center"/>
          </w:tcPr>
          <w:p w14:paraId="330D7331">
            <w:pPr>
              <w:pStyle w:val="3"/>
              <w:spacing w:before="0" w:beforeAutospacing="0" w:after="0" w:afterAutospacing="0"/>
              <w:rPr>
                <w:rFonts w:hint="eastAsia" w:cs="宋体"/>
                <w:color w:val="auto"/>
                <w:kern w:val="2"/>
                <w:sz w:val="21"/>
                <w:szCs w:val="21"/>
                <w:highlight w:val="none"/>
                <w:lang w:bidi="ar"/>
              </w:rPr>
            </w:pPr>
            <w:bookmarkStart w:id="0" w:name="_GoBack"/>
            <w:bookmarkEnd w:id="0"/>
          </w:p>
        </w:tc>
      </w:tr>
    </w:tbl>
    <w:p w14:paraId="5C6D5D0F">
      <w:pPr>
        <w:spacing w:before="120" w:beforeLines="50" w:after="120" w:afterLines="50" w:line="360" w:lineRule="auto"/>
        <w:rPr>
          <w:rFonts w:hint="eastAsia" w:ascii="宋体" w:hAnsi="宋体" w:cs="宋体"/>
          <w:color w:val="auto"/>
          <w:sz w:val="24"/>
          <w:highlight w:val="none"/>
        </w:rPr>
      </w:pPr>
      <w:r>
        <w:rPr>
          <w:rFonts w:hint="eastAsia" w:ascii="宋体" w:hAnsi="宋体" w:cs="宋体"/>
          <w:color w:val="auto"/>
          <w:sz w:val="24"/>
          <w:highlight w:val="none"/>
        </w:rPr>
        <w:t>注：</w:t>
      </w:r>
    </w:p>
    <w:p w14:paraId="7063CDFA">
      <w:pPr>
        <w:spacing w:before="120" w:beforeLines="50" w:after="120" w:afterLines="50" w:line="360" w:lineRule="auto"/>
        <w:rPr>
          <w:rFonts w:hint="eastAsia" w:ascii="宋体" w:hAnsi="宋体" w:cs="宋体"/>
          <w:color w:val="auto"/>
          <w:sz w:val="24"/>
          <w:highlight w:val="none"/>
        </w:rPr>
      </w:pPr>
      <w:r>
        <w:rPr>
          <w:rFonts w:hint="eastAsia" w:ascii="宋体" w:hAnsi="宋体" w:cs="宋体"/>
          <w:color w:val="auto"/>
          <w:sz w:val="24"/>
          <w:highlight w:val="none"/>
        </w:rPr>
        <w:t>（1）全体</w:t>
      </w:r>
      <w:r>
        <w:rPr>
          <w:rFonts w:hint="eastAsia" w:ascii="宋体" w:hAnsi="宋体" w:cs="宋体"/>
          <w:color w:val="auto"/>
          <w:sz w:val="24"/>
          <w:highlight w:val="none"/>
          <w:lang w:val="en-US" w:eastAsia="zh-CN"/>
        </w:rPr>
        <w:t>议价小组成员</w:t>
      </w:r>
      <w:r>
        <w:rPr>
          <w:rFonts w:hint="eastAsia" w:ascii="宋体" w:hAnsi="宋体" w:cs="宋体"/>
          <w:color w:val="auto"/>
          <w:sz w:val="24"/>
          <w:highlight w:val="none"/>
        </w:rPr>
        <w:t>对</w:t>
      </w:r>
      <w:r>
        <w:rPr>
          <w:rFonts w:hint="eastAsia" w:ascii="宋体" w:hAnsi="宋体" w:cs="宋体"/>
          <w:color w:val="auto"/>
          <w:sz w:val="24"/>
          <w:highlight w:val="none"/>
          <w:lang w:eastAsia="zh-CN"/>
        </w:rPr>
        <w:t>议价</w:t>
      </w:r>
      <w:r>
        <w:rPr>
          <w:rFonts w:hint="eastAsia" w:ascii="宋体" w:hAnsi="宋体" w:cs="宋体"/>
          <w:color w:val="auto"/>
          <w:sz w:val="24"/>
          <w:highlight w:val="none"/>
        </w:rPr>
        <w:t>人评分的算数平均值即为该</w:t>
      </w:r>
      <w:r>
        <w:rPr>
          <w:rFonts w:hint="eastAsia" w:ascii="宋体" w:hAnsi="宋体" w:cs="宋体"/>
          <w:color w:val="auto"/>
          <w:sz w:val="24"/>
          <w:highlight w:val="none"/>
          <w:lang w:eastAsia="zh-CN"/>
        </w:rPr>
        <w:t>议价</w:t>
      </w:r>
      <w:r>
        <w:rPr>
          <w:rFonts w:hint="eastAsia" w:ascii="宋体" w:hAnsi="宋体" w:cs="宋体"/>
          <w:color w:val="auto"/>
          <w:sz w:val="24"/>
          <w:highlight w:val="none"/>
        </w:rPr>
        <w:t>人的最终评标得分（不得去评分项目的最高得分和最低得分），评分分值计算保留小数点后两位，小数点后第三位“四舍五入”。</w:t>
      </w:r>
    </w:p>
    <w:p w14:paraId="7853990C">
      <w:pPr>
        <w:spacing w:before="120" w:beforeLines="50" w:after="120" w:afterLines="50" w:line="360" w:lineRule="auto"/>
        <w:rPr>
          <w:rFonts w:hint="eastAsia" w:ascii="宋体" w:hAnsi="宋体" w:cs="宋体"/>
          <w:color w:val="auto"/>
          <w:sz w:val="24"/>
          <w:highlight w:val="none"/>
        </w:rPr>
      </w:pPr>
      <w:r>
        <w:rPr>
          <w:rFonts w:hint="eastAsia" w:ascii="宋体" w:hAnsi="宋体" w:cs="宋体"/>
          <w:color w:val="auto"/>
          <w:sz w:val="24"/>
          <w:highlight w:val="none"/>
        </w:rPr>
        <w:t>（2）结果按评</w:t>
      </w:r>
      <w:r>
        <w:rPr>
          <w:rFonts w:hint="eastAsia" w:ascii="宋体" w:hAnsi="宋体" w:cs="宋体"/>
          <w:color w:val="auto"/>
          <w:sz w:val="24"/>
          <w:highlight w:val="none"/>
          <w:lang w:val="en-US" w:eastAsia="zh-CN"/>
        </w:rPr>
        <w:t>分</w:t>
      </w:r>
      <w:r>
        <w:rPr>
          <w:rFonts w:hint="eastAsia" w:ascii="宋体" w:hAnsi="宋体" w:cs="宋体"/>
          <w:color w:val="auto"/>
          <w:sz w:val="24"/>
          <w:highlight w:val="none"/>
        </w:rPr>
        <w:t>后得分由高到低顺序排列；综合得分相同的，按</w:t>
      </w:r>
      <w:r>
        <w:rPr>
          <w:rFonts w:hint="eastAsia" w:ascii="宋体" w:hAnsi="宋体" w:cs="宋体"/>
          <w:color w:val="auto"/>
          <w:sz w:val="24"/>
          <w:highlight w:val="none"/>
          <w:lang w:eastAsia="zh-CN"/>
        </w:rPr>
        <w:t>议价</w:t>
      </w:r>
      <w:r>
        <w:rPr>
          <w:rFonts w:hint="eastAsia" w:ascii="宋体" w:hAnsi="宋体" w:cs="宋体"/>
          <w:color w:val="auto"/>
          <w:sz w:val="24"/>
          <w:highlight w:val="none"/>
        </w:rPr>
        <w:t>报价得分由低到高顺序排列；综合得分且</w:t>
      </w:r>
      <w:r>
        <w:rPr>
          <w:rFonts w:hint="eastAsia" w:ascii="宋体" w:hAnsi="宋体" w:cs="宋体"/>
          <w:color w:val="auto"/>
          <w:sz w:val="24"/>
          <w:highlight w:val="none"/>
          <w:lang w:eastAsia="zh-CN"/>
        </w:rPr>
        <w:t>议价</w:t>
      </w:r>
      <w:r>
        <w:rPr>
          <w:rFonts w:hint="eastAsia" w:ascii="宋体" w:hAnsi="宋体" w:cs="宋体"/>
          <w:color w:val="auto"/>
          <w:sz w:val="24"/>
          <w:highlight w:val="none"/>
        </w:rPr>
        <w:t>报价得分相同的，按技术得分由高到低顺序排列。</w:t>
      </w:r>
    </w:p>
    <w:p w14:paraId="5F94AB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32D4F"/>
    <w:rsid w:val="04C94AE4"/>
    <w:rsid w:val="0FE32D4F"/>
    <w:rsid w:val="144813FA"/>
    <w:rsid w:val="15471DA5"/>
    <w:rsid w:val="179B0F25"/>
    <w:rsid w:val="1E340AEC"/>
    <w:rsid w:val="3AB97634"/>
    <w:rsid w:val="58EC285B"/>
    <w:rsid w:val="74EF063E"/>
    <w:rsid w:val="7E61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6">
    <w:name w:val="Normal_2"/>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1705</Words>
  <Characters>1732</Characters>
  <Lines>0</Lines>
  <Paragraphs>0</Paragraphs>
  <TotalTime>5</TotalTime>
  <ScaleCrop>false</ScaleCrop>
  <LinksUpToDate>false</LinksUpToDate>
  <CharactersWithSpaces>1734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2026-05-08T01:39:00Z</dcterms:created>
  <dc:creator>WPS_1735266632</dc:creator>
  <cp:lastModifiedBy>刘丽琴</cp:lastModifiedBy>
  <dcterms:modified xsi:type="dcterms:W3CDTF">2026-05-09T03:01:41Z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AA6BF83105FC4EA598199AFBF43CAE57_13</vt:lpwstr>
  </property>
  <property fmtid="{D5CDD505-2E9C-101B-9397-08002B2CF9AE}" pid="4" name="KSOTemplateDocerSaveRecord">
    <vt:lpwstr>eyJoZGlkIjoiOTZiMTliZjJlM2YzMjY1YjY5ZDQxMDgyYjBhMTcxODYiLCJ1c2VySWQiOiI0MTk1MTI5NTcifQ==</vt:lpwstr>
  </property>
</Properties>
</file>