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2DC68">
      <w:pP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一、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</w:rPr>
        <w:t>通过式金属探测门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基本要求及参数</w:t>
      </w:r>
      <w:bookmarkStart w:id="0" w:name="_GoBack"/>
      <w:bookmarkEnd w:id="0"/>
    </w:p>
    <w:p w14:paraId="2201A8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80" w:firstLineChars="200"/>
        <w:textAlignment w:val="auto"/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要求：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</w:rPr>
        <w:t>通过式金属探测门应符合《通过式金属探测门通用技术规范》（GB15210-2018）中Ⅱ类、Ⅲ类的混合类金属探测门要求，并具有联网功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。</w:t>
      </w:r>
    </w:p>
    <w:p w14:paraId="742297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参数：1.门体采用液晶屏显示，可展示客流和报警数据多区位报警功能；2.人体不同位置的多个金属通过安检门时会同时报警，并可以指示多个金属的位置，最多支持18区位；3.应能记录有效受检人数和发生过警报的人数，并支持复位消等；4.能抗周围静止金属物影响不受门体四周1m范围以外的大静止金属物体的影响；5.在探测区左右边界150mm内的磁感应强度都不应超过4.5uT(需提供公安部检测报告)。</w:t>
      </w:r>
    </w:p>
    <w:p w14:paraId="54F9AB9C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0" w:firstLine="638"/>
        <w:contextualSpacing/>
        <w:jc w:val="left"/>
        <w:textAlignment w:val="auto"/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</w:rPr>
        <w:t>微剂量X 射线安全检查设备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基本要求及参数</w:t>
      </w:r>
    </w:p>
    <w:p w14:paraId="0FB07714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638" w:leftChars="0" w:right="0" w:rightChars="0"/>
        <w:contextualSpacing/>
        <w:jc w:val="left"/>
        <w:textAlignment w:val="auto"/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要求：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</w:rPr>
        <w:t>应符合《微剂量X 射线安全检查设备》（GB15208）要求。</w:t>
      </w:r>
    </w:p>
    <w:p w14:paraId="23EDFFD3"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638" w:leftChars="0" w:right="0" w:rightChars="0"/>
        <w:contextualSpacing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参数：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传送带高度：不低于600mm；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设备应具有3个摄像头，进口至</w:t>
      </w:r>
    </w:p>
    <w:p w14:paraId="34B6A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少1个，出口至少1个，通道内至少1个；3.外壳防护等级应符合GB/T 4208-2017的规定，不低于IP20的要求；4.设备可按图像生成顺序连续回调当前用户的历史过检图像，无图像数量限制；5.设备应能放大显示所选中区域的物体图像，任意区域放大应不小于64倍；6.设备应具有可供连接保护接地导线的保护接地端子，应有明显的标识；7.设备应具有图像实时存储功能和对违禁品的智能识别功能，当检测到刀具（匕首、切刀、美工刀、弹簧刀）仿真枪 、管制器具（指虎、甩棍、电击器、手铐）、压力容器、打火机 、雨伞 、剪刀等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违禁品时，应能自动识别图像圈定标注名称或种类；8.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设备出现系统死机重启后或意外故障重启后，应能在3分钟内恢复其正常工作状态，且故障前的日志记录、过包图片等信息不丢失；9.设备应具有用户注册、冻结、编辑和删除功能，同时具备密码、编辑和登录功能；10.设备应节能环保，当传送带上无行李物品时，设备的传送装置应自动停止;当行李物品放上传送带时，设备的传送装置应自动运行；11.设备应能将人员放包和取包视频、包裹照片与X射线透射图像进行关联存储12.当传输通道内发生液体倾洒时，应具有特定导水装置，可将液体疏导至安检机外部并自动排出。</w:t>
      </w:r>
    </w:p>
    <w:p w14:paraId="542261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</w:rPr>
        <w:t>通过式金属探测门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和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</w:rPr>
        <w:t>微剂量X 射线安全检查设备</w:t>
      </w:r>
      <w:r>
        <w:rPr>
          <w:rFonts w:hint="eastAsia" w:ascii="仿宋" w:hAnsi="仿宋" w:eastAsia="仿宋" w:cs="仿宋"/>
          <w:color w:val="000000"/>
          <w:spacing w:val="0"/>
          <w:position w:val="0"/>
          <w:sz w:val="24"/>
          <w:szCs w:val="24"/>
          <w:lang w:eastAsia="zh-CN"/>
        </w:rPr>
        <w:t>均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需要出具厂家授权质保证明以及原厂售后服务。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02FA4C"/>
    <w:multiLevelType w:val="singleLevel"/>
    <w:tmpl w:val="4C02FA4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0165D7"/>
    <w:rsid w:val="1B01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2026-10-10T00:22:00Z</dcterms:created>
  <dc:creator>WPS_1700544346</dc:creator>
  <cp:lastModifiedBy>WPS_1700544346</cp:lastModifiedBy>
  <dcterms:modified xsi:type="dcterms:W3CDTF">2026-10-10T01:14:21Z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F5EE11DE1297498AAF3A2539D514E59A_11</vt:lpwstr>
  </property>
  <property fmtid="{D5CDD505-2E9C-101B-9397-08002B2CF9AE}" pid="4" name="KSOTemplateDocerSaveRecord">
    <vt:lpwstr>eyJoZGlkIjoiMTU0OTZiM2I5MDhhNDU1MjIyYmY4MmJkZWE5MWJhNWMiLCJ1c2VySWQiOiIxNTU4OTg1NTk2In0=</vt:lpwstr>
  </property>
</Properties>
</file>