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75EA4">
      <w:pPr>
        <w:pStyle w:val="2"/>
        <w:numPr>
          <w:ilvl w:val="0"/>
          <w:numId w:val="0"/>
        </w:numPr>
        <w:spacing w:line="240" w:lineRule="auto"/>
        <w:ind w:firstLine="1807" w:firstLineChars="600"/>
        <w:jc w:val="both"/>
        <w:rPr>
          <w:rFonts w:hint="eastAsia" w:ascii="宋体" w:hAnsi="宋体" w:cs="宋体"/>
          <w:color w:val="auto"/>
          <w:sz w:val="30"/>
          <w:szCs w:val="30"/>
          <w:highlight w:val="none"/>
        </w:rPr>
      </w:pPr>
      <w:r>
        <w:rPr>
          <w:rFonts w:hint="eastAsia" w:ascii="宋体" w:hAnsi="宋体" w:cs="宋体"/>
          <w:color w:val="auto"/>
          <w:sz w:val="30"/>
          <w:szCs w:val="30"/>
          <w:highlight w:val="none"/>
          <w:lang w:eastAsia="zh-CN"/>
        </w:rPr>
        <w:t>安检设备</w:t>
      </w:r>
      <w:r>
        <w:rPr>
          <w:rFonts w:hint="eastAsia" w:ascii="宋体" w:hAnsi="宋体" w:cs="宋体"/>
          <w:color w:val="auto"/>
          <w:sz w:val="30"/>
          <w:szCs w:val="30"/>
          <w:highlight w:val="none"/>
          <w:lang w:val="en-US" w:eastAsia="zh-CN"/>
        </w:rPr>
        <w:t>询价</w:t>
      </w:r>
      <w:r>
        <w:rPr>
          <w:rFonts w:hint="eastAsia" w:ascii="宋体" w:hAnsi="宋体" w:cs="宋体"/>
          <w:color w:val="auto"/>
          <w:sz w:val="30"/>
          <w:szCs w:val="30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30"/>
          <w:szCs w:val="30"/>
          <w:highlight w:val="none"/>
        </w:rPr>
        <w:t>方法及标准</w:t>
      </w:r>
    </w:p>
    <w:p w14:paraId="3C55E0EE"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b/>
          <w:color w:val="auto"/>
          <w:sz w:val="24"/>
          <w:szCs w:val="20"/>
          <w:highlight w:val="none"/>
        </w:rPr>
      </w:pPr>
      <w:r>
        <w:rPr>
          <w:rFonts w:hint="eastAsia" w:ascii="宋体" w:hAnsi="宋体" w:cs="宋体"/>
          <w:b/>
          <w:color w:val="auto"/>
          <w:sz w:val="24"/>
          <w:szCs w:val="20"/>
          <w:highlight w:val="none"/>
        </w:rPr>
        <w:t>一、资格审查</w:t>
      </w:r>
    </w:p>
    <w:p w14:paraId="7FCBED9B">
      <w:pPr>
        <w:adjustRightInd w:val="0"/>
        <w:snapToGrid w:val="0"/>
        <w:spacing w:line="360" w:lineRule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1、资格审查依据法律法规和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文件的规定，对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文件中的资格证明文件、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报价等内容进行审查，以确定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供应商是否具备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资格。</w:t>
      </w:r>
    </w:p>
    <w:p w14:paraId="74050BD4">
      <w:pPr>
        <w:adjustRightInd w:val="0"/>
        <w:snapToGrid w:val="0"/>
        <w:spacing w:line="360" w:lineRule="auto"/>
        <w:rPr>
          <w:rFonts w:hint="eastAsia" w:ascii="宋体" w:hAnsi="宋体" w:cs="宋体"/>
          <w:b/>
          <w:color w:val="auto"/>
          <w:sz w:val="24"/>
          <w:szCs w:val="20"/>
          <w:highlight w:val="none"/>
        </w:rPr>
      </w:pPr>
      <w:r>
        <w:rPr>
          <w:rFonts w:hint="eastAsia" w:ascii="宋体" w:hAnsi="宋体" w:cs="宋体"/>
          <w:color w:val="auto"/>
          <w:sz w:val="24"/>
          <w:szCs w:val="20"/>
          <w:highlight w:val="none"/>
        </w:rPr>
        <w:t>2、</w:t>
      </w:r>
      <w:r>
        <w:rPr>
          <w:rFonts w:hint="eastAsia" w:ascii="宋体" w:hAnsi="宋体" w:cs="宋体"/>
          <w:color w:val="auto"/>
          <w:sz w:val="24"/>
          <w:highlight w:val="none"/>
        </w:rPr>
        <w:t>资格审查结果为不合格的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人，不进入综合评分。</w:t>
      </w:r>
    </w:p>
    <w:p w14:paraId="74B009EE"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b/>
          <w:color w:val="auto"/>
          <w:sz w:val="24"/>
          <w:szCs w:val="20"/>
          <w:highlight w:val="none"/>
        </w:rPr>
      </w:pPr>
      <w:r>
        <w:rPr>
          <w:rFonts w:hint="eastAsia" w:ascii="宋体" w:hAnsi="宋体" w:cs="宋体"/>
          <w:b/>
          <w:color w:val="auto"/>
          <w:sz w:val="24"/>
          <w:szCs w:val="20"/>
          <w:highlight w:val="none"/>
        </w:rPr>
        <w:t>二、综合评分表</w:t>
      </w:r>
    </w:p>
    <w:tbl>
      <w:tblPr>
        <w:tblStyle w:val="6"/>
        <w:tblW w:w="10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020"/>
        <w:gridCol w:w="750"/>
        <w:gridCol w:w="7701"/>
      </w:tblGrid>
      <w:tr w14:paraId="0CC79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E6E3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条款号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78CE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评分点名称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25B3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分数</w:t>
            </w:r>
          </w:p>
        </w:tc>
        <w:tc>
          <w:tcPr>
            <w:tcW w:w="7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21EC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标准</w:t>
            </w:r>
          </w:p>
        </w:tc>
      </w:tr>
      <w:tr w14:paraId="4D31E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3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C589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报价</w:t>
            </w:r>
          </w:p>
          <w:p w14:paraId="284BB49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  <w:p w14:paraId="0886B97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（20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分）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B607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报价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7A4A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7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B8E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以议价评审小组全体成员一致认定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完全满足议价文件实质性要求、通过符合性审查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的有效供应商最低报价为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基准价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，基准价对应供应商报价得满分 20 分。</w:t>
            </w:r>
          </w:p>
          <w:p w14:paraId="44E0F7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 xml:space="preserve">其余有效供应商报价得分统一按照公式计算： 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报价得分 = 基准价 ÷ 供应商报价 ×20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得分结果统一四舍五入，保留小数点后两位。</w:t>
            </w:r>
          </w:p>
          <w:p w14:paraId="3EDFCE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低价异常否决条款</w:t>
            </w:r>
          </w:p>
          <w:p w14:paraId="77B9DE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议价评审小组核查发现供应商报价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明显低于其他合格供应商报价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，存在影响产品质量、无法诚信履约风险的，有权要求供应商在评审现场规定时限内提交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书面低价说明及相关佐证证明材料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。 供应商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逾期未提交、提交说明不合理、无法提供有效证明材料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的，评审小组直接判定其报价无效，作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无效议价响应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处理，不参与后续评审及计分。</w:t>
            </w:r>
          </w:p>
          <w:p w14:paraId="4B35B9BE">
            <w:pPr>
              <w:pStyle w:val="5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6C432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4" w:hRule="atLeast"/>
          <w:jc w:val="center"/>
        </w:trPr>
        <w:tc>
          <w:tcPr>
            <w:tcW w:w="967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6682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技术</w:t>
            </w:r>
          </w:p>
          <w:p w14:paraId="24B99B8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  <w:p w14:paraId="7749B68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50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分）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D9F1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技术指标响应程度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55D7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30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7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76F1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供应商所投产品全部技术参数、硬件配置、功能标准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完全符合议价文件全部条款要求，无负偏离、无缺漏项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，得满分 30 分。</w:t>
            </w:r>
          </w:p>
          <w:p w14:paraId="4EDD186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所投产品技术参数、配置存在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单项负偏离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 xml:space="preserve">的，每项扣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分，扣分累计计算。</w:t>
            </w:r>
          </w:p>
          <w:p w14:paraId="1673B73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3.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负偏离项数量大于 2 项（不含 2 项）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，直接否决本次议价响应，作无效投标处理。</w:t>
            </w:r>
          </w:p>
          <w:p w14:paraId="00FFD5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eastAsia="zh-CN"/>
              </w:rPr>
              <w:t>注：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负偏离统一认定标准（硬性判定）</w:t>
            </w:r>
          </w:p>
          <w:p w14:paraId="2775529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产品配置描述模糊、技术参数未明确、关键参数缺漏、功能描述缺失，一律认定为负偏离；</w:t>
            </w:r>
          </w:p>
          <w:p w14:paraId="66D3FC5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议价文件明确要求提供检测报告、资质证明、认证文件等佐证材料，供应商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未提供、材料不符、材料造假、材料过期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的，视同参数负偏离；</w:t>
            </w:r>
          </w:p>
          <w:p w14:paraId="4F97B4F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议价文件有明确参数要求，供应商未对应上传、未提供任何佐证材料的，一律视同负偏离。</w:t>
            </w:r>
          </w:p>
          <w:p w14:paraId="4E18AE5D">
            <w:pPr>
              <w:pStyle w:val="9"/>
              <w:widowControl w:val="0"/>
              <w:ind w:firstLine="480" w:firstLineChars="200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</w:p>
        </w:tc>
      </w:tr>
      <w:tr w14:paraId="5553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7" w:hRule="atLeast"/>
          <w:jc w:val="center"/>
        </w:trPr>
        <w:tc>
          <w:tcPr>
            <w:tcW w:w="96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AA0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02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4666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产品性能配置与原厂服务保障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98E3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20分</w:t>
            </w:r>
          </w:p>
        </w:tc>
        <w:tc>
          <w:tcPr>
            <w:tcW w:w="7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27D03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产品综合性能（10 分）</w:t>
            </w:r>
          </w:p>
          <w:p w14:paraId="3B8FE2BE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供应商针对本项目详细阐述所投产品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配置合理性、技术成熟度、设备运行稳定性、安全可靠性、整体选型完善性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。评审小组根据产品先进性、质量可靠性、功能适配性综合打分：</w:t>
            </w:r>
          </w:p>
          <w:p w14:paraId="419D1501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内容完整、贴合项目需求、逻辑清晰、方案完善：得满分 10 分；</w:t>
            </w:r>
          </w:p>
          <w:p w14:paraId="58F0B5FE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关键内容缺项，每项扣 2 分；</w:t>
            </w:r>
          </w:p>
          <w:p w14:paraId="65EFDC97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3..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方案描述不合理、配置适配性不足、内容不完善，每项扣 1 分；</w:t>
            </w:r>
          </w:p>
          <w:p w14:paraId="1802BBDD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  <w:t>本项分数扣完为止，未提供相关介绍材料的本项计 0 分。</w:t>
            </w:r>
          </w:p>
          <w:p w14:paraId="193774E9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hanging="36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原厂授权及质保承诺（5 分）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6EDA452F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hanging="36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供应商完整提供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生产厂家针对本项目的唯一授权书 + 原厂正规质保承诺书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（文件真实有效、信息完整、加盖有效印章），得 5 分；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缺任意一项、文件无效、过期、未盖章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，本项计 0 分。</w:t>
            </w:r>
          </w:p>
          <w:p w14:paraId="07D1D8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增值参数升级承诺（5 分）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111EF2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在完全满足议价文件全部技术参数基础上，供应商</w:t>
            </w:r>
            <w:r>
              <w:rPr>
                <w:rStyle w:val="8"/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书面承诺免费增加产品功能、升级配置、优化参数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1F2329"/>
                <w:kern w:val="0"/>
                <w:sz w:val="24"/>
                <w:szCs w:val="24"/>
                <w:lang w:val="en-US" w:eastAsia="zh-CN" w:bidi="ar"/>
              </w:rPr>
              <w:t>的，每有效承诺 1 项加 1 分，本项最高累加得 5 分，无增值承诺不得分。</w:t>
            </w:r>
          </w:p>
        </w:tc>
      </w:tr>
      <w:tr w14:paraId="3F4C3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0952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商务</w:t>
            </w:r>
          </w:p>
          <w:p w14:paraId="2F7F444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  <w:p w14:paraId="03F3BC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（30分）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BC4A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业绩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1FA5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7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1D72C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提供202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月1日以后所投同品牌设备终端用户供货合同，提供用户清单与联系方式，以提供清晰的合同复印件为准，每份符合要求的业绩得2分。同一家终端用户的材料不重复计分。</w:t>
            </w:r>
          </w:p>
          <w:p w14:paraId="6E4848A6">
            <w:pPr>
              <w:pStyle w:val="5"/>
              <w:spacing w:before="0" w:beforeAutospacing="0" w:after="0" w:afterAutospacing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bidi="ar"/>
              </w:rPr>
              <w:t>注：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议价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bidi="ar"/>
              </w:rPr>
              <w:t>文件中需提供相关证明材料复印件（盖双方公章的合同复印件）并加盖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议价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bidi="ar"/>
              </w:rPr>
              <w:t>单位公章，否则不计分。</w:t>
            </w:r>
          </w:p>
        </w:tc>
      </w:tr>
      <w:tr w14:paraId="00C52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  <w:jc w:val="center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D689D">
            <w:pP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17C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售后服务方案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EB9D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7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C3DFF">
            <w:pPr>
              <w:pStyle w:val="5"/>
              <w:spacing w:before="0" w:beforeAutospacing="0" w:after="0" w:afterAutospacing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议价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bidi="ar"/>
              </w:rPr>
              <w:t>人提供一套针对本项目有明确描述的售后服务方案，包括但不限于：①售后服务体系及保修承诺措施；②设备调试与安装；③服务响应时间及方式；④质保期内的维保机制；⑤承诺保修期后的维修方案；⑥提供售后服务点，具备备品备件仓库，配有专职维修工程师，并提供工牌复印件以及联系方式⑦提供设备产品检验报告复印件、彩页资料、⑧提供常用消耗品和零配件优惠价格。方案全面、详细、合理、切实可行、贴合本项目实际情况的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bidi="ar"/>
              </w:rPr>
              <w:t>分；方案内容欠合理、欠完善或描述不详的每项扣0.5分，扣完为止；缺漏项的每项扣1分；未提供不计分。</w:t>
            </w:r>
          </w:p>
        </w:tc>
      </w:tr>
      <w:tr w14:paraId="526FA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  <w:jc w:val="center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495B2">
            <w:pP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CFF8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培训方案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C51D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7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A059D">
            <w:pPr>
              <w:spacing w:line="32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针对本项目具有可行的技术培训方案，培训内容包括所提供设备的原理和技术性能、操作维护方法、安装调试、排除故障等各个方面，培训的具体日期及人数由使用单位确定。培训后的人员应能熟练操作设备，了解设备结构、工作原理，并能排除一般故障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方案全面、详细、合理、切实可行、贴合本项目实际情况的计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分；方案内容欠合理、欠完善或描述不详的每项扣0.5分，扣完为止；缺漏项的每项扣1分；未提供不计分。</w:t>
            </w:r>
          </w:p>
        </w:tc>
      </w:tr>
      <w:tr w14:paraId="2F94E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BA705">
            <w:pP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77BB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维保服务年限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77F7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7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5EFB9">
            <w:pPr>
              <w:pStyle w:val="5"/>
              <w:spacing w:before="0" w:beforeAutospacing="0" w:after="0" w:afterAutospacing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bidi="ar"/>
              </w:rPr>
              <w:t>供应商承诺维保服务年限满足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议价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bidi="ar"/>
              </w:rPr>
              <w:t>文件要求的基础上，每增加一年加4分，满分8分。（提供承诺书并加盖供应商公章）</w:t>
            </w:r>
          </w:p>
        </w:tc>
      </w:tr>
      <w:tr w14:paraId="011CC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6DE97">
            <w:pP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552B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合计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2EEE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100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7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D7331">
            <w:pPr>
              <w:pStyle w:val="5"/>
              <w:spacing w:before="0" w:beforeAutospacing="0" w:after="0" w:afterAutospacing="0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bidi="ar"/>
              </w:rPr>
            </w:pPr>
            <w:bookmarkStart w:id="0" w:name="_GoBack"/>
            <w:bookmarkEnd w:id="0"/>
          </w:p>
        </w:tc>
      </w:tr>
    </w:tbl>
    <w:p w14:paraId="5C6D5D0F">
      <w:pPr>
        <w:spacing w:before="120" w:beforeLines="50" w:after="120" w:afterLines="50" w:line="360" w:lineRule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</w:t>
      </w:r>
    </w:p>
    <w:p w14:paraId="7063CDFA">
      <w:pPr>
        <w:spacing w:before="120" w:beforeLines="50" w:after="120" w:afterLines="50" w:line="360" w:lineRule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（1）全体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议价小组成员</w:t>
      </w:r>
      <w:r>
        <w:rPr>
          <w:rFonts w:hint="eastAsia" w:ascii="宋体" w:hAnsi="宋体" w:cs="宋体"/>
          <w:color w:val="auto"/>
          <w:sz w:val="24"/>
          <w:highlight w:val="none"/>
        </w:rPr>
        <w:t>对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人评分的算数平均值即为该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人的最终评标得分（不得去评分项目的最高得分和最低得分），评分分值计算保留小数点后两位，小数点后第三位“四舍五入”。</w:t>
      </w:r>
    </w:p>
    <w:p w14:paraId="7853990C">
      <w:pPr>
        <w:spacing w:before="120" w:beforeLines="50" w:after="120" w:afterLines="50" w:line="360" w:lineRule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（2）结果按评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分</w:t>
      </w:r>
      <w:r>
        <w:rPr>
          <w:rFonts w:hint="eastAsia" w:ascii="宋体" w:hAnsi="宋体" w:cs="宋体"/>
          <w:color w:val="auto"/>
          <w:sz w:val="24"/>
          <w:highlight w:val="none"/>
        </w:rPr>
        <w:t>后得分由高到低顺序排列；综合得分相同的，按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报价得分由低到高顺序排列；综合得分且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议价</w:t>
      </w:r>
      <w:r>
        <w:rPr>
          <w:rFonts w:hint="eastAsia" w:ascii="宋体" w:hAnsi="宋体" w:cs="宋体"/>
          <w:color w:val="auto"/>
          <w:sz w:val="24"/>
          <w:highlight w:val="none"/>
        </w:rPr>
        <w:t>报价得分相同的，按技术得分由高到低顺序排列。</w:t>
      </w:r>
    </w:p>
    <w:p w14:paraId="5F94AB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9A86DF"/>
    <w:multiLevelType w:val="multilevel"/>
    <w:tmpl w:val="809A86D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BC88CAAE"/>
    <w:multiLevelType w:val="multilevel"/>
    <w:tmpl w:val="BC88CA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58AF2F8"/>
    <w:multiLevelType w:val="multilevel"/>
    <w:tmpl w:val="C58AF2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EFFB3434"/>
    <w:multiLevelType w:val="multilevel"/>
    <w:tmpl w:val="EFFB343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2B06775E"/>
    <w:multiLevelType w:val="multilevel"/>
    <w:tmpl w:val="2B06775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32D4F"/>
    <w:rsid w:val="04C94AE4"/>
    <w:rsid w:val="0FE32D4F"/>
    <w:rsid w:val="144813FA"/>
    <w:rsid w:val="15471DA5"/>
    <w:rsid w:val="179B0F25"/>
    <w:rsid w:val="1E340AEC"/>
    <w:rsid w:val="27F60212"/>
    <w:rsid w:val="3AB97634"/>
    <w:rsid w:val="58EC285B"/>
    <w:rsid w:val="59D0494B"/>
    <w:rsid w:val="642C0D93"/>
    <w:rsid w:val="74EF063E"/>
    <w:rsid w:val="7E61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pacing w:before="340" w:after="330" w:line="578" w:lineRule="atLeast"/>
      <w:textAlignment w:val="baseline"/>
      <w:outlineLvl w:val="0"/>
    </w:pPr>
    <w:rPr>
      <w:b/>
      <w:kern w:val="44"/>
      <w:sz w:val="44"/>
      <w:szCs w:val="20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Normal_2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1919</Words>
  <Characters>1955</Characters>
  <Lines>0</Lines>
  <Paragraphs>0</Paragraphs>
  <TotalTime>3</TotalTime>
  <ScaleCrop>false</ScaleCrop>
  <LinksUpToDate>false</LinksUpToDate>
  <CharactersWithSpaces>1997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2026-05-08T01:39:00Z</dcterms:created>
  <dc:creator>WPS_1735266632</dc:creator>
  <cp:lastModifiedBy>周 洁</cp:lastModifiedBy>
  <dcterms:modified xsi:type="dcterms:W3CDTF">2026-10-13T01:02:08Z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5627A8FDCBDF42A9AE683D7AA05CD696_13</vt:lpwstr>
  </property>
  <property fmtid="{D5CDD505-2E9C-101B-9397-08002B2CF9AE}" pid="4" name="KSOTemplateDocerSaveRecord">
    <vt:lpwstr>eyJoZGlkIjoiODNlNzMyOTk5MGVhZDY0YTA2OTYzZTM1YjY4YmE4OWEiLCJ1c2VySWQiOiI3NTYzODYxMzIifQ==</vt:lpwstr>
  </property>
</Properties>
</file>